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6B460D3E"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741788">
        <w:t>Old Buckenham High School</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0A284901" w:rsidR="002940F3" w:rsidRDefault="6AD93586" w:rsidP="12CA2E5B">
            <w:pPr>
              <w:pStyle w:val="TableRow"/>
              <w:ind w:left="0" w:right="0"/>
            </w:pPr>
            <w:r>
              <w:t>496</w:t>
            </w:r>
          </w:p>
        </w:tc>
      </w:tr>
      <w:tr w:rsidR="002940F3" w14:paraId="2A7D54BD"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2F080FF" w:rsidR="002940F3" w:rsidRDefault="2875E9AC" w:rsidP="12CA2E5B">
            <w:pPr>
              <w:pStyle w:val="TableRow"/>
              <w:ind w:left="0" w:right="0"/>
            </w:pPr>
            <w:r>
              <w:t>27.02%</w:t>
            </w:r>
          </w:p>
        </w:tc>
      </w:tr>
      <w:tr w:rsidR="002940F3" w14:paraId="2A7D54C0"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F3E056" w14:textId="77777777" w:rsidR="002940F3" w:rsidRDefault="00741788" w:rsidP="00C31636">
            <w:pPr>
              <w:pStyle w:val="TableRow"/>
              <w:ind w:left="0" w:right="0"/>
            </w:pPr>
            <w:r>
              <w:t>24-25</w:t>
            </w:r>
          </w:p>
          <w:p w14:paraId="7DF4FFB5" w14:textId="77777777" w:rsidR="00741788" w:rsidRDefault="00741788" w:rsidP="00C31636">
            <w:pPr>
              <w:pStyle w:val="TableRow"/>
              <w:ind w:left="0" w:right="0"/>
            </w:pPr>
            <w:r>
              <w:t>25-26</w:t>
            </w:r>
          </w:p>
          <w:p w14:paraId="2A7D54BF" w14:textId="545DFA64" w:rsidR="00741788" w:rsidRDefault="00741788" w:rsidP="00C31636">
            <w:pPr>
              <w:pStyle w:val="TableRow"/>
              <w:ind w:left="0" w:right="0"/>
            </w:pPr>
            <w:r>
              <w:t>26-27</w:t>
            </w:r>
          </w:p>
        </w:tc>
      </w:tr>
      <w:tr w:rsidR="002940F3" w14:paraId="2A7D54C3"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69134563" w:rsidR="002940F3" w:rsidRDefault="00741788" w:rsidP="00C31636">
            <w:pPr>
              <w:pStyle w:val="TableRow"/>
              <w:ind w:left="0" w:right="0"/>
            </w:pPr>
            <w:r>
              <w:t>December 2024</w:t>
            </w:r>
          </w:p>
        </w:tc>
      </w:tr>
      <w:tr w:rsidR="002940F3" w14:paraId="2A7D54C6"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0B55743A" w:rsidR="002940F3" w:rsidRDefault="00741788" w:rsidP="00C31636">
            <w:pPr>
              <w:pStyle w:val="TableRow"/>
              <w:ind w:left="0" w:right="0"/>
            </w:pPr>
            <w:r>
              <w:t>December 2025</w:t>
            </w:r>
          </w:p>
        </w:tc>
      </w:tr>
      <w:tr w:rsidR="002940F3" w14:paraId="2A7D54C9"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1FF7BB47" w:rsidR="002940F3" w:rsidRDefault="003E7246" w:rsidP="00C31636">
            <w:pPr>
              <w:pStyle w:val="TableRow"/>
              <w:ind w:left="0" w:right="0"/>
            </w:pPr>
            <w:r>
              <w:t xml:space="preserve">Paul Beale </w:t>
            </w:r>
            <w:r w:rsidR="00C06C9C">
              <w:t xml:space="preserve">(Head </w:t>
            </w:r>
            <w:r w:rsidR="6B606E18">
              <w:t>Teacher</w:t>
            </w:r>
            <w:r w:rsidR="00C06C9C">
              <w:t>)</w:t>
            </w:r>
          </w:p>
        </w:tc>
      </w:tr>
      <w:tr w:rsidR="002940F3" w14:paraId="2A7D54CC"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4153AEEA" w:rsidR="002940F3" w:rsidRDefault="00741788" w:rsidP="00C31636">
            <w:pPr>
              <w:pStyle w:val="TableRow"/>
              <w:ind w:left="0" w:right="0"/>
            </w:pPr>
            <w:r>
              <w:t xml:space="preserve">Hannah </w:t>
            </w:r>
            <w:proofErr w:type="spellStart"/>
            <w:r>
              <w:t>Leavold</w:t>
            </w:r>
            <w:proofErr w:type="spellEnd"/>
            <w:r w:rsidR="002E7E3B">
              <w:t xml:space="preserve"> (Acting Assistant Headteacher)</w:t>
            </w:r>
          </w:p>
        </w:tc>
      </w:tr>
      <w:tr w:rsidR="002940F3" w14:paraId="2A7D54CF"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1BF083BD" w:rsidR="002940F3" w:rsidRDefault="002E7E3B" w:rsidP="00C31636">
            <w:pPr>
              <w:pStyle w:val="TableRow"/>
              <w:ind w:left="0" w:right="0"/>
            </w:pPr>
            <w:r>
              <w:t xml:space="preserve">Roger </w:t>
            </w:r>
            <w:proofErr w:type="spellStart"/>
            <w:r>
              <w:t>Margand</w:t>
            </w:r>
            <w:proofErr w:type="spellEnd"/>
            <w:r>
              <w:t xml:space="preserve"> (Trust Compliance Committee)</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6F102606" w:rsidR="00E66558" w:rsidRDefault="009D71E8" w:rsidP="00C31636">
            <w:pPr>
              <w:pStyle w:val="TableRow"/>
              <w:ind w:left="0" w:right="0"/>
            </w:pPr>
            <w:r>
              <w:t>£</w:t>
            </w:r>
            <w:r w:rsidR="00771D3E">
              <w:t xml:space="preserve"> </w:t>
            </w:r>
            <w:r w:rsidR="00771D3E">
              <w:rPr>
                <w:sz w:val="22"/>
                <w:szCs w:val="22"/>
                <w:lang w:eastAsia="en-US"/>
              </w:rPr>
              <w:t>132,515.00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5CC45BFC" w:rsidR="00E66558" w:rsidRDefault="009D71E8" w:rsidP="00C31636">
            <w:pPr>
              <w:pStyle w:val="TableRow"/>
              <w:ind w:left="0" w:right="0"/>
            </w:pPr>
            <w:r>
              <w:t>£</w:t>
            </w:r>
            <w:r w:rsidR="00443F69">
              <w:t xml:space="preserve"> 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598FA5FF" w:rsidR="00E66558" w:rsidRDefault="009D71E8" w:rsidP="00C31636">
            <w:pPr>
              <w:pStyle w:val="TableRow"/>
              <w:ind w:left="0" w:right="0"/>
            </w:pPr>
            <w:r>
              <w:t>£</w:t>
            </w:r>
            <w:r w:rsidR="00771D3E">
              <w:t xml:space="preserve"> </w:t>
            </w:r>
            <w:r w:rsidR="00771D3E">
              <w:rPr>
                <w:sz w:val="22"/>
                <w:szCs w:val="22"/>
                <w:lang w:eastAsia="en-US"/>
              </w:rPr>
              <w:t>132,515.00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51CC8" w14:textId="24858F08" w:rsidR="00A74B3A" w:rsidRPr="00A74B3A" w:rsidRDefault="00A74B3A" w:rsidP="00A74B3A">
            <w:p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 xml:space="preserve">The Education Endowment Fund </w:t>
            </w:r>
            <w:r w:rsidR="006E1B61" w:rsidRPr="00C67739">
              <w:rPr>
                <w:rFonts w:cs="Arial"/>
                <w:color w:val="auto"/>
                <w:sz w:val="22"/>
                <w:szCs w:val="22"/>
              </w:rPr>
              <w:t xml:space="preserve">recognises the importance of </w:t>
            </w:r>
            <w:proofErr w:type="gramStart"/>
            <w:r w:rsidR="006E1B61" w:rsidRPr="00C67739">
              <w:rPr>
                <w:rFonts w:cs="Arial"/>
                <w:color w:val="auto"/>
                <w:sz w:val="22"/>
                <w:szCs w:val="22"/>
              </w:rPr>
              <w:t>high quality</w:t>
            </w:r>
            <w:proofErr w:type="gramEnd"/>
            <w:r w:rsidR="006E1B61" w:rsidRPr="00C67739">
              <w:rPr>
                <w:rFonts w:cs="Arial"/>
                <w:color w:val="auto"/>
                <w:sz w:val="22"/>
                <w:szCs w:val="22"/>
              </w:rPr>
              <w:t xml:space="preserve"> teaching </w:t>
            </w:r>
            <w:r w:rsidR="00172DC7" w:rsidRPr="00C67739">
              <w:rPr>
                <w:rFonts w:cs="Arial"/>
                <w:color w:val="auto"/>
                <w:sz w:val="22"/>
                <w:szCs w:val="22"/>
              </w:rPr>
              <w:t>–</w:t>
            </w:r>
            <w:r w:rsidR="006E1B61" w:rsidRPr="00C67739">
              <w:rPr>
                <w:rFonts w:cs="Arial"/>
                <w:color w:val="auto"/>
                <w:sz w:val="22"/>
                <w:szCs w:val="22"/>
              </w:rPr>
              <w:t xml:space="preserve"> </w:t>
            </w:r>
            <w:r w:rsidR="00172DC7" w:rsidRPr="00C67739">
              <w:rPr>
                <w:rFonts w:cs="Arial"/>
                <w:color w:val="auto"/>
                <w:sz w:val="22"/>
                <w:szCs w:val="22"/>
              </w:rPr>
              <w:t xml:space="preserve">identifying this as the single ‘most powerful way for schools to improve pupil attainment, especially for </w:t>
            </w:r>
            <w:r w:rsidR="000C649F" w:rsidRPr="00C67739">
              <w:rPr>
                <w:rFonts w:cs="Arial"/>
                <w:color w:val="auto"/>
                <w:sz w:val="22"/>
                <w:szCs w:val="22"/>
              </w:rPr>
              <w:t>socio-economically disadvantaged pupils.’</w:t>
            </w:r>
          </w:p>
          <w:p w14:paraId="61BE0097" w14:textId="731EFD8C" w:rsidR="00A74B3A" w:rsidRPr="00A74B3A" w:rsidRDefault="00A74B3A" w:rsidP="00A74B3A">
            <w:p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 xml:space="preserve">“By identifying the challenges faced by disadvantaged pupils, using evidence to determine the most effective solutions, and carefully planning their implementation, schools can maximise the impact of their limited resources.” This philosophy forms the foundation of Old Buckenham High School’s commitment to supporting our Pupil Premium learners. Our </w:t>
            </w:r>
            <w:proofErr w:type="gramStart"/>
            <w:r w:rsidRPr="00A74B3A">
              <w:rPr>
                <w:rFonts w:cs="Arial"/>
                <w:color w:val="auto"/>
                <w:sz w:val="22"/>
                <w:szCs w:val="22"/>
              </w:rPr>
              <w:t>ultimate goal</w:t>
            </w:r>
            <w:proofErr w:type="gramEnd"/>
            <w:r w:rsidRPr="00A74B3A">
              <w:rPr>
                <w:rFonts w:cs="Arial"/>
                <w:color w:val="auto"/>
                <w:sz w:val="22"/>
                <w:szCs w:val="22"/>
              </w:rPr>
              <w:t xml:space="preserve"> is to ensure that disadvantaged students, like all our pupils, are</w:t>
            </w:r>
            <w:r w:rsidR="00C20307" w:rsidRPr="00C67739">
              <w:rPr>
                <w:rFonts w:cs="Arial"/>
                <w:color w:val="auto"/>
                <w:sz w:val="22"/>
                <w:szCs w:val="22"/>
              </w:rPr>
              <w:t xml:space="preserve"> equipped and empowered to achieve, whilst </w:t>
            </w:r>
            <w:r w:rsidR="005A0553" w:rsidRPr="00C67739">
              <w:rPr>
                <w:rFonts w:cs="Arial"/>
                <w:color w:val="auto"/>
                <w:sz w:val="22"/>
                <w:szCs w:val="22"/>
              </w:rPr>
              <w:t>recognising the importance of our three underpinning principles of ‘Community, Ambition and Respect.’</w:t>
            </w:r>
          </w:p>
          <w:p w14:paraId="51299C30" w14:textId="65BD519C" w:rsidR="00A74B3A" w:rsidRPr="00A74B3A" w:rsidRDefault="00A74B3A" w:rsidP="00A74B3A">
            <w:p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Addressing the complex educational challenges within any school requires more than a single solution. We believe a comprehensive, multi-faceted approach provides the best opportunity for our students to thrive</w:t>
            </w:r>
            <w:r w:rsidR="008F2536" w:rsidRPr="00C67739">
              <w:rPr>
                <w:rFonts w:cs="Arial"/>
                <w:color w:val="auto"/>
                <w:sz w:val="22"/>
                <w:szCs w:val="22"/>
              </w:rPr>
              <w:t xml:space="preserve"> and that a ‘menu of approaches’ allows us to give </w:t>
            </w:r>
            <w:r w:rsidR="00493873" w:rsidRPr="00C67739">
              <w:rPr>
                <w:rFonts w:cs="Arial"/>
                <w:color w:val="auto"/>
                <w:sz w:val="22"/>
                <w:szCs w:val="22"/>
              </w:rPr>
              <w:t>tailored and holistic support to those facing disadvantage</w:t>
            </w:r>
            <w:r w:rsidRPr="00A74B3A">
              <w:rPr>
                <w:rFonts w:cs="Arial"/>
                <w:color w:val="auto"/>
                <w:sz w:val="22"/>
                <w:szCs w:val="22"/>
              </w:rPr>
              <w:t>.</w:t>
            </w:r>
            <w:r w:rsidR="00FE6C19" w:rsidRPr="00C67739">
              <w:rPr>
                <w:rFonts w:cs="Arial"/>
                <w:color w:val="auto"/>
                <w:sz w:val="22"/>
                <w:szCs w:val="22"/>
              </w:rPr>
              <w:t xml:space="preserve"> It is important to recognise those facing disadvantage are not a </w:t>
            </w:r>
            <w:r w:rsidR="004A18A4" w:rsidRPr="00C67739">
              <w:rPr>
                <w:rFonts w:cs="Arial"/>
                <w:color w:val="auto"/>
                <w:sz w:val="22"/>
                <w:szCs w:val="22"/>
              </w:rPr>
              <w:t>homogenous group:</w:t>
            </w:r>
            <w:r w:rsidRPr="00A74B3A">
              <w:rPr>
                <w:rFonts w:cs="Arial"/>
                <w:color w:val="auto"/>
                <w:sz w:val="22"/>
                <w:szCs w:val="22"/>
              </w:rPr>
              <w:t xml:space="preserve"> Each student encounters unique academic and pastoral challenges. Our focus is on identifying and overcoming these barriers to learning, ensuring that students from </w:t>
            </w:r>
            <w:r w:rsidR="004A18A4" w:rsidRPr="00C67739">
              <w:rPr>
                <w:rFonts w:cs="Arial"/>
                <w:color w:val="auto"/>
                <w:sz w:val="22"/>
                <w:szCs w:val="22"/>
              </w:rPr>
              <w:t>disadvantaged</w:t>
            </w:r>
            <w:r w:rsidRPr="00A74B3A">
              <w:rPr>
                <w:rFonts w:cs="Arial"/>
                <w:color w:val="auto"/>
                <w:sz w:val="22"/>
                <w:szCs w:val="22"/>
              </w:rPr>
              <w:t xml:space="preserve"> backgrounds achieve success alongside their peers. This is achieved through:</w:t>
            </w:r>
          </w:p>
          <w:p w14:paraId="4459B687" w14:textId="77777777" w:rsidR="00A74B3A" w:rsidRPr="00A74B3A" w:rsidRDefault="00A74B3A" w:rsidP="00A74B3A">
            <w:pPr>
              <w:numPr>
                <w:ilvl w:val="0"/>
                <w:numId w:val="18"/>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A broad and enriching curriculum that fosters personal and social development, confidence in learning, and cultural capital.</w:t>
            </w:r>
          </w:p>
          <w:p w14:paraId="40BC31C2" w14:textId="77777777" w:rsidR="00A74B3A" w:rsidRPr="00A74B3A" w:rsidRDefault="00A74B3A" w:rsidP="00A74B3A">
            <w:pPr>
              <w:numPr>
                <w:ilvl w:val="0"/>
                <w:numId w:val="18"/>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Teaching strategies that inspire motivation, high aspirations, and accelerated learning for all.</w:t>
            </w:r>
          </w:p>
          <w:p w14:paraId="0ECDBBB7" w14:textId="77777777" w:rsidR="00A74B3A" w:rsidRPr="00A74B3A" w:rsidRDefault="00A74B3A" w:rsidP="00A74B3A">
            <w:pPr>
              <w:numPr>
                <w:ilvl w:val="0"/>
                <w:numId w:val="18"/>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Tailored pastoral support.</w:t>
            </w:r>
          </w:p>
          <w:p w14:paraId="05A725F7" w14:textId="77777777" w:rsidR="00A74B3A" w:rsidRPr="00A74B3A" w:rsidRDefault="00A74B3A" w:rsidP="00A74B3A">
            <w:pPr>
              <w:numPr>
                <w:ilvl w:val="0"/>
                <w:numId w:val="18"/>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Targeted interventions to close achievement gaps and address barriers to learning and progress.</w:t>
            </w:r>
          </w:p>
          <w:p w14:paraId="786816F8" w14:textId="7BFE06F9" w:rsidR="00A74B3A" w:rsidRPr="00A74B3A" w:rsidRDefault="00A74B3A" w:rsidP="00A74B3A">
            <w:pPr>
              <w:numPr>
                <w:ilvl w:val="0"/>
                <w:numId w:val="18"/>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Financial support to ensure equal access to enrichment opportunities</w:t>
            </w:r>
            <w:r w:rsidR="00040082" w:rsidRPr="00C67739">
              <w:rPr>
                <w:rFonts w:cs="Arial"/>
                <w:color w:val="auto"/>
                <w:sz w:val="22"/>
                <w:szCs w:val="22"/>
              </w:rPr>
              <w:t xml:space="preserve">, </w:t>
            </w:r>
            <w:r w:rsidR="00B61DF0" w:rsidRPr="00C67739">
              <w:rPr>
                <w:rFonts w:cs="Arial"/>
                <w:color w:val="auto"/>
                <w:sz w:val="22"/>
                <w:szCs w:val="22"/>
              </w:rPr>
              <w:t>revision materials and in class materials</w:t>
            </w:r>
            <w:r w:rsidRPr="00A74B3A">
              <w:rPr>
                <w:rFonts w:cs="Arial"/>
                <w:color w:val="auto"/>
                <w:sz w:val="22"/>
                <w:szCs w:val="22"/>
              </w:rPr>
              <w:t xml:space="preserve"> for those experiencing hardship.</w:t>
            </w:r>
          </w:p>
          <w:p w14:paraId="4C4628AC" w14:textId="77777777" w:rsidR="00A74B3A" w:rsidRPr="00A74B3A" w:rsidRDefault="00A74B3A" w:rsidP="00A74B3A">
            <w:p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 xml:space="preserve">Our approach is grounded in principles outlined in the Ofsted research brief </w:t>
            </w:r>
            <w:r w:rsidRPr="00A74B3A">
              <w:rPr>
                <w:rFonts w:cs="Arial"/>
                <w:i/>
                <w:iCs/>
                <w:color w:val="auto"/>
                <w:sz w:val="22"/>
                <w:szCs w:val="22"/>
              </w:rPr>
              <w:t>‘Supporting the Attainment of Disadvantaged Pupils: Articulating Success and Good Practice’</w:t>
            </w:r>
            <w:r w:rsidRPr="00A74B3A">
              <w:rPr>
                <w:rFonts w:cs="Arial"/>
                <w:color w:val="auto"/>
                <w:sz w:val="22"/>
                <w:szCs w:val="22"/>
              </w:rPr>
              <w:t xml:space="preserve"> (November 2015):</w:t>
            </w:r>
          </w:p>
          <w:p w14:paraId="3A931CA3" w14:textId="77777777" w:rsidR="00A74B3A" w:rsidRPr="00A74B3A" w:rsidRDefault="00A74B3A" w:rsidP="00A74B3A">
            <w:pPr>
              <w:numPr>
                <w:ilvl w:val="0"/>
                <w:numId w:val="19"/>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Foster an ethos of high attainment for all pupils, avoiding stereotypes that limit the potential of disadvantaged students.</w:t>
            </w:r>
          </w:p>
          <w:p w14:paraId="38BE5E00" w14:textId="77777777" w:rsidR="00A74B3A" w:rsidRPr="00A74B3A" w:rsidRDefault="00A74B3A" w:rsidP="00A74B3A">
            <w:pPr>
              <w:numPr>
                <w:ilvl w:val="0"/>
                <w:numId w:val="19"/>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Provide individualised support to address learning barriers and emotional needs early, rather than relying on generic interventions or focusing solely on pupils nearing key assessments.</w:t>
            </w:r>
          </w:p>
          <w:p w14:paraId="7A28F618" w14:textId="77777777" w:rsidR="00A74B3A" w:rsidRPr="00A74B3A" w:rsidRDefault="00A74B3A" w:rsidP="00A74B3A">
            <w:pPr>
              <w:numPr>
                <w:ilvl w:val="0"/>
                <w:numId w:val="19"/>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Prioritise high-quality teaching over supplemental strategies or activities conducted outside school hours.</w:t>
            </w:r>
          </w:p>
          <w:p w14:paraId="1075FD98" w14:textId="77777777" w:rsidR="00A74B3A" w:rsidRPr="00A74B3A" w:rsidRDefault="00A74B3A" w:rsidP="00A74B3A">
            <w:pPr>
              <w:numPr>
                <w:ilvl w:val="0"/>
                <w:numId w:val="19"/>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Focus on achieving positive outcomes for individual pupils rather than implementing one-size-fits-all strategies.</w:t>
            </w:r>
          </w:p>
          <w:p w14:paraId="198E61E6" w14:textId="77777777" w:rsidR="00A74B3A" w:rsidRPr="00A74B3A" w:rsidRDefault="00A74B3A" w:rsidP="00A74B3A">
            <w:pPr>
              <w:numPr>
                <w:ilvl w:val="0"/>
                <w:numId w:val="19"/>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Assign the most effective staff to support disadvantaged pupils, building the skills of teachers and TAs who know the students well, rather than relying on additional staff unfamiliar with their needs.</w:t>
            </w:r>
          </w:p>
          <w:p w14:paraId="064E7872" w14:textId="77777777" w:rsidR="00A74B3A" w:rsidRPr="00A74B3A" w:rsidRDefault="00A74B3A" w:rsidP="00A74B3A">
            <w:pPr>
              <w:numPr>
                <w:ilvl w:val="0"/>
                <w:numId w:val="19"/>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Base decisions on data and respond to evidence, using frequent assessments and adaptable approaches rather than one-off evaluations.</w:t>
            </w:r>
          </w:p>
          <w:p w14:paraId="0B6F5042" w14:textId="77777777" w:rsidR="00A74B3A" w:rsidRPr="00A74B3A" w:rsidRDefault="00A74B3A" w:rsidP="00A74B3A">
            <w:pPr>
              <w:numPr>
                <w:ilvl w:val="0"/>
                <w:numId w:val="19"/>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lastRenderedPageBreak/>
              <w:t>Demonstrate clear and proactive leadership, setting high aspirations and sharing the responsibility of raising attainment across all staff, while rejecting low expectations and inconsistent performance.</w:t>
            </w:r>
          </w:p>
          <w:p w14:paraId="2A7D54E9" w14:textId="33B50D89" w:rsidR="00E66558" w:rsidRPr="00A74B3A" w:rsidRDefault="00E66558" w:rsidP="00A74B3A">
            <w:pPr>
              <w:ind w:left="360"/>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37026FFC">
        <w:trPr>
          <w:trHeight w:val="300"/>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rsidTr="37026FFC">
        <w:trPr>
          <w:trHeight w:val="300"/>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7ED8A37F" w:rsidR="00E66558" w:rsidRDefault="00146A80" w:rsidP="00C31636">
            <w:pPr>
              <w:pStyle w:val="TableRowCentered"/>
              <w:ind w:left="0" w:right="0"/>
              <w:jc w:val="left"/>
            </w:pPr>
            <w:r>
              <w:rPr>
                <w:rStyle w:val="normaltextrun"/>
                <w:rFonts w:cs="Arial"/>
                <w:b/>
                <w:bCs/>
                <w:sz w:val="22"/>
                <w:szCs w:val="22"/>
                <w:shd w:val="clear" w:color="auto" w:fill="FFFFFF"/>
              </w:rPr>
              <w:t>Literacy</w:t>
            </w:r>
            <w:r>
              <w:rPr>
                <w:rStyle w:val="normaltextrun"/>
                <w:rFonts w:cs="Arial"/>
                <w:sz w:val="22"/>
                <w:szCs w:val="22"/>
                <w:shd w:val="clear" w:color="auto" w:fill="FFFFFF"/>
              </w:rPr>
              <w:t xml:space="preserve">. </w:t>
            </w:r>
            <w:r w:rsidR="005E3E80" w:rsidRPr="002F5CE9">
              <w:rPr>
                <w:rStyle w:val="normaltextrun"/>
                <w:rFonts w:cs="Arial"/>
                <w:sz w:val="22"/>
                <w:szCs w:val="22"/>
                <w:shd w:val="clear" w:color="auto" w:fill="FFFFFF"/>
              </w:rPr>
              <w:t xml:space="preserve">At OBHS, we have recently transitioned to a new reading age </w:t>
            </w:r>
            <w:r w:rsidR="005F1A72" w:rsidRPr="002F5CE9">
              <w:rPr>
                <w:rStyle w:val="normaltextrun"/>
                <w:rFonts w:cs="Arial"/>
                <w:sz w:val="22"/>
                <w:szCs w:val="22"/>
                <w:shd w:val="clear" w:color="auto" w:fill="FFFFFF"/>
              </w:rPr>
              <w:t xml:space="preserve">assessment scheme and so our most recent data field is not yet </w:t>
            </w:r>
            <w:r w:rsidR="00C42592" w:rsidRPr="002F5CE9">
              <w:rPr>
                <w:rStyle w:val="normaltextrun"/>
                <w:rFonts w:cs="Arial"/>
                <w:sz w:val="22"/>
                <w:szCs w:val="22"/>
                <w:shd w:val="clear" w:color="auto" w:fill="FFFFFF"/>
              </w:rPr>
              <w:t>complete or ready for analysis.</w:t>
            </w:r>
            <w:r w:rsidR="00F60AB4">
              <w:rPr>
                <w:rStyle w:val="normaltextrun"/>
                <w:rFonts w:cs="Arial"/>
                <w:sz w:val="22"/>
                <w:szCs w:val="22"/>
                <w:shd w:val="clear" w:color="auto" w:fill="FFFFFF"/>
              </w:rPr>
              <w:t xml:space="preserve"> Of our current Year 7 who </w:t>
            </w:r>
            <w:r w:rsidR="00DB6BC6">
              <w:rPr>
                <w:rStyle w:val="normaltextrun"/>
                <w:rFonts w:cs="Arial"/>
                <w:sz w:val="22"/>
                <w:szCs w:val="22"/>
                <w:shd w:val="clear" w:color="auto" w:fill="FFFFFF"/>
              </w:rPr>
              <w:t xml:space="preserve">have completed the new reading assessments, 11 of our </w:t>
            </w:r>
            <w:r w:rsidR="00440436">
              <w:rPr>
                <w:rStyle w:val="normaltextrun"/>
                <w:rFonts w:cs="Arial"/>
                <w:sz w:val="22"/>
                <w:szCs w:val="22"/>
                <w:shd w:val="clear" w:color="auto" w:fill="FFFFFF"/>
              </w:rPr>
              <w:t>30 identified disadvantaged students have a standardised reading score below 90.</w:t>
            </w:r>
            <w:r w:rsidR="00C42592" w:rsidRPr="002F5CE9">
              <w:rPr>
                <w:rStyle w:val="normaltextrun"/>
                <w:rFonts w:cs="Arial"/>
                <w:sz w:val="22"/>
                <w:szCs w:val="22"/>
                <w:shd w:val="clear" w:color="auto" w:fill="FFFFFF"/>
              </w:rPr>
              <w:t xml:space="preserve"> However, </w:t>
            </w:r>
            <w:r w:rsidR="00702AA6" w:rsidRPr="002F5CE9">
              <w:rPr>
                <w:rStyle w:val="normaltextrun"/>
                <w:rFonts w:cs="Arial"/>
                <w:sz w:val="22"/>
                <w:szCs w:val="22"/>
                <w:shd w:val="clear" w:color="auto" w:fill="FFFFFF"/>
              </w:rPr>
              <w:t xml:space="preserve">historically </w:t>
            </w:r>
            <w:r w:rsidR="00060C1C" w:rsidRPr="002F5CE9">
              <w:rPr>
                <w:rStyle w:val="normaltextrun"/>
                <w:rFonts w:cs="Arial"/>
                <w:sz w:val="22"/>
                <w:szCs w:val="22"/>
                <w:shd w:val="clear" w:color="auto" w:fill="FFFFFF"/>
              </w:rPr>
              <w:t>OBHS has a legacy of disadvantaged students with poor literacy</w:t>
            </w:r>
            <w:r w:rsidR="0018425F" w:rsidRPr="002F5CE9">
              <w:rPr>
                <w:rStyle w:val="normaltextrun"/>
                <w:rFonts w:cs="Arial"/>
                <w:sz w:val="22"/>
                <w:szCs w:val="22"/>
                <w:shd w:val="clear" w:color="auto" w:fill="FFFFFF"/>
              </w:rPr>
              <w:t xml:space="preserve"> skills</w:t>
            </w:r>
            <w:r w:rsidR="00060C1C" w:rsidRPr="002F5CE9">
              <w:rPr>
                <w:rStyle w:val="normaltextrun"/>
                <w:rFonts w:cs="Arial"/>
                <w:sz w:val="22"/>
                <w:szCs w:val="22"/>
                <w:shd w:val="clear" w:color="auto" w:fill="FFFFFF"/>
              </w:rPr>
              <w:t>. T</w:t>
            </w:r>
            <w:r w:rsidR="005E3E80" w:rsidRPr="002F5CE9">
              <w:rPr>
                <w:rStyle w:val="normaltextrun"/>
                <w:rFonts w:cs="Arial"/>
                <w:sz w:val="22"/>
                <w:szCs w:val="22"/>
                <w:shd w:val="clear" w:color="auto" w:fill="FFFFFF"/>
              </w:rPr>
              <w:t xml:space="preserve">he transition data provided from primaries showed that 25% of our current Year </w:t>
            </w:r>
            <w:r w:rsidR="004D0F24" w:rsidRPr="002F5CE9">
              <w:rPr>
                <w:rStyle w:val="normaltextrun"/>
                <w:rFonts w:cs="Arial"/>
                <w:sz w:val="22"/>
                <w:szCs w:val="22"/>
                <w:shd w:val="clear" w:color="auto" w:fill="FFFFFF"/>
              </w:rPr>
              <w:t>9</w:t>
            </w:r>
            <w:r w:rsidR="005E3E80" w:rsidRPr="002F5CE9">
              <w:rPr>
                <w:rStyle w:val="normaltextrun"/>
                <w:rFonts w:cs="Arial"/>
                <w:sz w:val="22"/>
                <w:szCs w:val="22"/>
                <w:shd w:val="clear" w:color="auto" w:fill="FFFFFF"/>
              </w:rPr>
              <w:t xml:space="preserve"> students (202</w:t>
            </w:r>
            <w:r w:rsidR="004D0F24" w:rsidRPr="002F5CE9">
              <w:rPr>
                <w:rStyle w:val="normaltextrun"/>
                <w:rFonts w:cs="Arial"/>
                <w:sz w:val="22"/>
                <w:szCs w:val="22"/>
                <w:shd w:val="clear" w:color="auto" w:fill="FFFFFF"/>
              </w:rPr>
              <w:t>3</w:t>
            </w:r>
            <w:r w:rsidR="005E3E80" w:rsidRPr="002F5CE9">
              <w:rPr>
                <w:rStyle w:val="normaltextrun"/>
                <w:rFonts w:cs="Arial"/>
                <w:sz w:val="22"/>
                <w:szCs w:val="22"/>
                <w:shd w:val="clear" w:color="auto" w:fill="FFFFFF"/>
              </w:rPr>
              <w:t>-2</w:t>
            </w:r>
            <w:r w:rsidR="004D0F24" w:rsidRPr="002F5CE9">
              <w:rPr>
                <w:rStyle w:val="normaltextrun"/>
                <w:rFonts w:cs="Arial"/>
                <w:sz w:val="22"/>
                <w:szCs w:val="22"/>
                <w:shd w:val="clear" w:color="auto" w:fill="FFFFFF"/>
              </w:rPr>
              <w:t>4</w:t>
            </w:r>
            <w:r w:rsidR="005E3E80" w:rsidRPr="002F5CE9">
              <w:rPr>
                <w:rStyle w:val="normaltextrun"/>
                <w:rFonts w:cs="Arial"/>
                <w:sz w:val="22"/>
                <w:szCs w:val="22"/>
                <w:shd w:val="clear" w:color="auto" w:fill="FFFFFF"/>
              </w:rPr>
              <w:t xml:space="preserve">) were not meeting expected levels for reading and 39% for writing on entry to KS3. Of which </w:t>
            </w:r>
            <w:r w:rsidR="0068165E" w:rsidRPr="002F5CE9">
              <w:rPr>
                <w:rStyle w:val="normaltextrun"/>
                <w:rFonts w:cs="Arial"/>
                <w:sz w:val="22"/>
                <w:szCs w:val="22"/>
                <w:shd w:val="clear" w:color="auto" w:fill="FFFFFF"/>
              </w:rPr>
              <w:t>32</w:t>
            </w:r>
            <w:r w:rsidR="005E3E80" w:rsidRPr="002F5CE9">
              <w:rPr>
                <w:rStyle w:val="normaltextrun"/>
                <w:rFonts w:cs="Arial"/>
                <w:sz w:val="22"/>
                <w:szCs w:val="22"/>
                <w:shd w:val="clear" w:color="auto" w:fill="FFFFFF"/>
              </w:rPr>
              <w:t xml:space="preserve"> students are PPG.</w:t>
            </w:r>
            <w:r w:rsidR="0029308B" w:rsidRPr="002F5CE9">
              <w:rPr>
                <w:sz w:val="22"/>
                <w:szCs w:val="22"/>
              </w:rPr>
              <w:t xml:space="preserve"> This remained an ongoing trend in 2023 with 31% of our </w:t>
            </w:r>
            <w:proofErr w:type="spellStart"/>
            <w:r w:rsidR="0029308B" w:rsidRPr="002F5CE9">
              <w:rPr>
                <w:sz w:val="22"/>
                <w:szCs w:val="22"/>
              </w:rPr>
              <w:t>now</w:t>
            </w:r>
            <w:proofErr w:type="spellEnd"/>
            <w:r w:rsidR="0029308B" w:rsidRPr="002F5CE9">
              <w:rPr>
                <w:sz w:val="22"/>
                <w:szCs w:val="22"/>
              </w:rPr>
              <w:t xml:space="preserve"> year 8 students not meeting expected standard in English Reading upon entry. </w:t>
            </w:r>
            <w:r w:rsidRPr="002F5CE9">
              <w:rPr>
                <w:rStyle w:val="normaltextrun"/>
                <w:rFonts w:cs="Arial"/>
                <w:sz w:val="22"/>
                <w:szCs w:val="22"/>
                <w:shd w:val="clear" w:color="auto" w:fill="FFFFFF"/>
              </w:rPr>
              <w:t xml:space="preserve">According to the EEF </w:t>
            </w:r>
            <w:r w:rsidRPr="002F5CE9">
              <w:rPr>
                <w:rStyle w:val="normaltextrun"/>
                <w:rFonts w:cs="Arial"/>
                <w:i/>
                <w:iCs/>
                <w:sz w:val="22"/>
                <w:szCs w:val="22"/>
                <w:shd w:val="clear" w:color="auto" w:fill="FFFFFF"/>
              </w:rPr>
              <w:t>‘a disadvantaged child in England is still more than twice as likely as their classmates from more advantaged homes to leave primary school without reaching the expected levels in reading and writing.’</w:t>
            </w:r>
            <w:r w:rsidRPr="002F5CE9">
              <w:rPr>
                <w:rStyle w:val="normaltextrun"/>
                <w:rFonts w:cs="Arial"/>
                <w:sz w:val="22"/>
                <w:szCs w:val="22"/>
                <w:shd w:val="clear" w:color="auto" w:fill="FFFFFF"/>
              </w:rPr>
              <w:t xml:space="preserve"> </w:t>
            </w:r>
            <w:r w:rsidR="00EC23D6" w:rsidRPr="002F5CE9">
              <w:rPr>
                <w:rStyle w:val="normaltextrun"/>
                <w:rFonts w:cs="Arial"/>
                <w:sz w:val="22"/>
                <w:szCs w:val="22"/>
                <w:shd w:val="clear" w:color="auto" w:fill="FFFFFF"/>
              </w:rPr>
              <w:t xml:space="preserve">Whilst the National Literacy Trust Annual Survey </w:t>
            </w:r>
            <w:r w:rsidR="006C19BD" w:rsidRPr="002F5CE9">
              <w:rPr>
                <w:rStyle w:val="normaltextrun"/>
                <w:rFonts w:cs="Arial"/>
                <w:sz w:val="22"/>
                <w:szCs w:val="22"/>
                <w:shd w:val="clear" w:color="auto" w:fill="FFFFFF"/>
              </w:rPr>
              <w:t xml:space="preserve">of 2024 states that only 1 in 3 young people </w:t>
            </w:r>
            <w:r w:rsidR="004A201C" w:rsidRPr="002F5CE9">
              <w:rPr>
                <w:rStyle w:val="normaltextrun"/>
                <w:rFonts w:cs="Arial"/>
                <w:sz w:val="22"/>
                <w:szCs w:val="22"/>
                <w:shd w:val="clear" w:color="auto" w:fill="FFFFFF"/>
              </w:rPr>
              <w:t xml:space="preserve">enjoy reading in their spare time. </w:t>
            </w:r>
          </w:p>
        </w:tc>
      </w:tr>
      <w:tr w:rsidR="00E66558" w14:paraId="2A7D54F5" w14:textId="77777777" w:rsidTr="37026FFC">
        <w:trPr>
          <w:trHeight w:val="300"/>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06FA32" w14:textId="77777777" w:rsidR="00E66558" w:rsidRDefault="4F07DC8C" w:rsidP="00C31636">
            <w:pPr>
              <w:pStyle w:val="TableRowCentered"/>
              <w:ind w:left="0" w:right="0"/>
              <w:jc w:val="left"/>
              <w:rPr>
                <w:rFonts w:cs="Arial"/>
                <w:color w:val="263238"/>
                <w:sz w:val="22"/>
                <w:szCs w:val="22"/>
                <w:shd w:val="clear" w:color="auto" w:fill="FFFFFF"/>
              </w:rPr>
            </w:pPr>
            <w:r w:rsidRPr="00883378">
              <w:rPr>
                <w:b/>
                <w:bCs/>
                <w:sz w:val="22"/>
                <w:szCs w:val="22"/>
              </w:rPr>
              <w:t xml:space="preserve">Attendance. </w:t>
            </w:r>
            <w:r w:rsidR="2DEFCDCA" w:rsidRPr="00A30148">
              <w:rPr>
                <w:rFonts w:cs="Arial"/>
                <w:sz w:val="22"/>
                <w:szCs w:val="22"/>
              </w:rPr>
              <w:t xml:space="preserve">Since September, </w:t>
            </w:r>
            <w:r w:rsidR="5AF863B0" w:rsidRPr="00A30148">
              <w:rPr>
                <w:rFonts w:cs="Arial"/>
                <w:sz w:val="22"/>
                <w:szCs w:val="22"/>
              </w:rPr>
              <w:t xml:space="preserve">of non-disadvantaged students have a cumulative attendance of 93.31%, whilst our </w:t>
            </w:r>
            <w:r w:rsidR="71686FE9" w:rsidRPr="00A30148">
              <w:rPr>
                <w:rFonts w:cs="Arial"/>
                <w:sz w:val="22"/>
                <w:szCs w:val="22"/>
              </w:rPr>
              <w:t xml:space="preserve">disadvantaged students have a cumulative attendance of 89.09%. </w:t>
            </w:r>
            <w:r w:rsidR="01D678B0" w:rsidRPr="00A30148">
              <w:rPr>
                <w:rFonts w:cs="Arial"/>
                <w:sz w:val="22"/>
                <w:szCs w:val="22"/>
              </w:rPr>
              <w:t xml:space="preserve">Further exploration of these statistics </w:t>
            </w:r>
            <w:proofErr w:type="gramStart"/>
            <w:r w:rsidR="01D678B0" w:rsidRPr="00A30148">
              <w:rPr>
                <w:rFonts w:cs="Arial"/>
                <w:sz w:val="22"/>
                <w:szCs w:val="22"/>
              </w:rPr>
              <w:t>show</w:t>
            </w:r>
            <w:proofErr w:type="gramEnd"/>
            <w:r w:rsidR="01D678B0" w:rsidRPr="00A30148">
              <w:rPr>
                <w:rFonts w:cs="Arial"/>
                <w:sz w:val="22"/>
                <w:szCs w:val="22"/>
              </w:rPr>
              <w:t xml:space="preserve"> 34.56% of our disadvantaged students are classified as </w:t>
            </w:r>
            <w:r w:rsidR="5434C532" w:rsidRPr="00A30148">
              <w:rPr>
                <w:rFonts w:cs="Arial"/>
                <w:sz w:val="22"/>
                <w:szCs w:val="22"/>
              </w:rPr>
              <w:t xml:space="preserve">persistent absentees, compared to 16.62% of our non-disadvantaged students. </w:t>
            </w:r>
            <w:r w:rsidR="186FF9A5" w:rsidRPr="00A30148">
              <w:rPr>
                <w:rFonts w:cs="Arial"/>
                <w:sz w:val="22"/>
                <w:szCs w:val="22"/>
              </w:rPr>
              <w:t xml:space="preserve">Our disadvantaged PA rate is far </w:t>
            </w:r>
            <w:proofErr w:type="gramStart"/>
            <w:r w:rsidR="186FF9A5" w:rsidRPr="00A30148">
              <w:rPr>
                <w:rFonts w:cs="Arial"/>
                <w:sz w:val="22"/>
                <w:szCs w:val="22"/>
              </w:rPr>
              <w:t>in excess of</w:t>
            </w:r>
            <w:proofErr w:type="gramEnd"/>
            <w:r w:rsidR="186FF9A5" w:rsidRPr="00A30148">
              <w:rPr>
                <w:rFonts w:cs="Arial"/>
                <w:sz w:val="22"/>
                <w:szCs w:val="22"/>
              </w:rPr>
              <w:t xml:space="preserve"> the national average for all students</w:t>
            </w:r>
            <w:r w:rsidR="3D4924DA" w:rsidRPr="00A30148">
              <w:rPr>
                <w:rFonts w:cs="Arial"/>
                <w:sz w:val="22"/>
                <w:szCs w:val="22"/>
              </w:rPr>
              <w:t>:</w:t>
            </w:r>
            <w:r w:rsidR="5CD4469C" w:rsidRPr="00A30148">
              <w:rPr>
                <w:rFonts w:cs="Arial"/>
                <w:sz w:val="22"/>
                <w:szCs w:val="22"/>
              </w:rPr>
              <w:t xml:space="preserve"> the most recent data release from the DfE stands at 19.2%. </w:t>
            </w:r>
            <w:r w:rsidR="31564857" w:rsidRPr="00A30148">
              <w:rPr>
                <w:rFonts w:cs="Arial"/>
                <w:sz w:val="22"/>
                <w:szCs w:val="22"/>
              </w:rPr>
              <w:t xml:space="preserve">The EEF recognises the clear link between attendance and improving outcomes </w:t>
            </w:r>
            <w:proofErr w:type="gramStart"/>
            <w:r w:rsidR="31564857" w:rsidRPr="00A30148">
              <w:rPr>
                <w:rFonts w:cs="Arial"/>
                <w:sz w:val="22"/>
                <w:szCs w:val="22"/>
              </w:rPr>
              <w:t>stating</w:t>
            </w:r>
            <w:proofErr w:type="gramEnd"/>
            <w:r w:rsidR="31564857" w:rsidRPr="00A30148">
              <w:rPr>
                <w:rFonts w:cs="Arial"/>
                <w:sz w:val="22"/>
                <w:szCs w:val="22"/>
              </w:rPr>
              <w:t xml:space="preserve"> ‘</w:t>
            </w:r>
            <w:r w:rsidR="31564857" w:rsidRPr="00A30148">
              <w:rPr>
                <w:rFonts w:cs="Arial"/>
                <w:color w:val="263238"/>
                <w:sz w:val="22"/>
                <w:szCs w:val="22"/>
                <w:shd w:val="clear" w:color="auto" w:fill="FFFFFF"/>
              </w:rPr>
              <w:t>With clear links between poor attendance and poor attainment and behaviour, tackling persistent absence is an important part of improving outcomes for all pupils.’</w:t>
            </w:r>
          </w:p>
          <w:p w14:paraId="72C2BD52" w14:textId="77777777" w:rsidR="001A43FE" w:rsidRDefault="001A43FE" w:rsidP="00C31636">
            <w:pPr>
              <w:pStyle w:val="TableRowCentered"/>
              <w:ind w:left="0" w:right="0"/>
              <w:jc w:val="left"/>
              <w:rPr>
                <w:rFonts w:cs="Arial"/>
                <w:color w:val="263238"/>
                <w:sz w:val="22"/>
                <w:szCs w:val="22"/>
                <w:shd w:val="clear" w:color="auto" w:fill="FFFFFF"/>
              </w:rPr>
            </w:pPr>
          </w:p>
          <w:p w14:paraId="0485D032" w14:textId="77777777" w:rsidR="001A43FE" w:rsidRDefault="23A8A1D1" w:rsidP="00C31636">
            <w:pPr>
              <w:pStyle w:val="TableRowCentered"/>
              <w:ind w:left="0" w:right="0"/>
              <w:jc w:val="left"/>
              <w:rPr>
                <w:rFonts w:cs="Arial"/>
                <w:color w:val="263238"/>
                <w:sz w:val="22"/>
                <w:szCs w:val="22"/>
                <w:shd w:val="clear" w:color="auto" w:fill="FFFFFF"/>
              </w:rPr>
            </w:pPr>
            <w:r>
              <w:rPr>
                <w:rFonts w:cs="Arial"/>
                <w:color w:val="263238"/>
                <w:sz w:val="22"/>
                <w:szCs w:val="22"/>
                <w:shd w:val="clear" w:color="auto" w:fill="FFFFFF"/>
              </w:rPr>
              <w:t>For the academic year 23-24, attendance data was as follows:</w:t>
            </w:r>
          </w:p>
          <w:p w14:paraId="2A7D54F4" w14:textId="1203BF59" w:rsidR="001A43FE" w:rsidRPr="00883378" w:rsidRDefault="32870A69" w:rsidP="00C31636">
            <w:pPr>
              <w:pStyle w:val="TableRowCentered"/>
              <w:ind w:left="0" w:right="0"/>
              <w:jc w:val="left"/>
            </w:pPr>
            <w:r>
              <w:rPr>
                <w:noProof/>
              </w:rPr>
              <w:drawing>
                <wp:inline distT="0" distB="0" distL="0" distR="0" wp14:anchorId="130BAAEC" wp14:editId="6DBEE759">
                  <wp:extent cx="2314898" cy="1448002"/>
                  <wp:effectExtent l="0" t="0" r="0" b="0"/>
                  <wp:docPr id="327489397" name="Picture 327489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314898" cy="1448002"/>
                          </a:xfrm>
                          <a:prstGeom prst="rect">
                            <a:avLst/>
                          </a:prstGeom>
                        </pic:spPr>
                      </pic:pic>
                    </a:graphicData>
                  </a:graphic>
                </wp:inline>
              </w:drawing>
            </w:r>
          </w:p>
        </w:tc>
      </w:tr>
      <w:tr w:rsidR="00E66558" w14:paraId="2A7D54F8" w14:textId="77777777" w:rsidTr="37026FFC">
        <w:trPr>
          <w:trHeight w:val="300"/>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44A63157" w:rsidR="00E66558" w:rsidRPr="00F7550B" w:rsidRDefault="00B538A3" w:rsidP="00C31636">
            <w:pPr>
              <w:pStyle w:val="TableRowCentered"/>
              <w:ind w:left="0" w:right="0"/>
              <w:jc w:val="left"/>
              <w:rPr>
                <w:sz w:val="22"/>
                <w:szCs w:val="22"/>
              </w:rPr>
            </w:pPr>
            <w:r>
              <w:rPr>
                <w:b/>
                <w:bCs/>
                <w:sz w:val="22"/>
                <w:szCs w:val="22"/>
              </w:rPr>
              <w:t>Behaviour</w:t>
            </w:r>
            <w:r w:rsidR="00B56F30">
              <w:rPr>
                <w:b/>
                <w:bCs/>
                <w:sz w:val="22"/>
                <w:szCs w:val="22"/>
              </w:rPr>
              <w:t xml:space="preserve"> and Attitude to Learning</w:t>
            </w:r>
            <w:r w:rsidR="00D21320">
              <w:rPr>
                <w:b/>
                <w:bCs/>
                <w:sz w:val="22"/>
                <w:szCs w:val="22"/>
              </w:rPr>
              <w:t xml:space="preserve">. </w:t>
            </w:r>
            <w:r w:rsidR="00F7550B">
              <w:rPr>
                <w:sz w:val="22"/>
                <w:szCs w:val="22"/>
              </w:rPr>
              <w:t>Data analysis from this September</w:t>
            </w:r>
            <w:r w:rsidR="00F76060">
              <w:rPr>
                <w:sz w:val="22"/>
                <w:szCs w:val="22"/>
              </w:rPr>
              <w:t xml:space="preserve"> shows that on average, non-disadvantaged pupils have a </w:t>
            </w:r>
            <w:proofErr w:type="spellStart"/>
            <w:r w:rsidR="00F76060">
              <w:rPr>
                <w:sz w:val="22"/>
                <w:szCs w:val="22"/>
              </w:rPr>
              <w:t>negative:positive</w:t>
            </w:r>
            <w:proofErr w:type="spellEnd"/>
            <w:r w:rsidR="00F76060">
              <w:rPr>
                <w:sz w:val="22"/>
                <w:szCs w:val="22"/>
              </w:rPr>
              <w:t xml:space="preserve"> </w:t>
            </w:r>
            <w:r w:rsidR="00F76060">
              <w:rPr>
                <w:sz w:val="22"/>
                <w:szCs w:val="22"/>
              </w:rPr>
              <w:lastRenderedPageBreak/>
              <w:t xml:space="preserve">behaviour </w:t>
            </w:r>
            <w:r w:rsidR="00D13D32">
              <w:rPr>
                <w:sz w:val="22"/>
                <w:szCs w:val="22"/>
              </w:rPr>
              <w:t xml:space="preserve">score of 1:18, whereas with disadvantaged students that ratio is 1:10. </w:t>
            </w:r>
            <w:r w:rsidR="00F21B1B">
              <w:rPr>
                <w:sz w:val="22"/>
                <w:szCs w:val="22"/>
              </w:rPr>
              <w:t xml:space="preserve">When examining our suspension and internal isolation events for </w:t>
            </w:r>
            <w:r w:rsidR="003C75F9">
              <w:rPr>
                <w:sz w:val="22"/>
                <w:szCs w:val="22"/>
              </w:rPr>
              <w:t xml:space="preserve">the academic year 24-25, when this strategy was written, 18 of the 42 children in school who had either been isolated or suspended were disadvantaged students, accounting for </w:t>
            </w:r>
            <w:r w:rsidR="00D3518D">
              <w:rPr>
                <w:sz w:val="22"/>
                <w:szCs w:val="22"/>
              </w:rPr>
              <w:t xml:space="preserve">43% of the total students who have been given a sanction of this nature – this group is clearly over-represented in this </w:t>
            </w:r>
            <w:r w:rsidR="00E12A2C">
              <w:rPr>
                <w:sz w:val="22"/>
                <w:szCs w:val="22"/>
              </w:rPr>
              <w:t>category.</w:t>
            </w:r>
          </w:p>
        </w:tc>
      </w:tr>
      <w:tr w:rsidR="00E66558" w14:paraId="2A7D54FB" w14:textId="77777777" w:rsidTr="37026FFC">
        <w:trPr>
          <w:trHeight w:val="300"/>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lastRenderedPageBreak/>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EF0636" w14:textId="78AB3F6A" w:rsidR="00E801D3" w:rsidRPr="005629E6" w:rsidRDefault="00626F5D" w:rsidP="00E801D3">
            <w:pPr>
              <w:rPr>
                <w:rFonts w:cs="Arial"/>
                <w:color w:val="000000"/>
                <w:sz w:val="22"/>
                <w:szCs w:val="22"/>
              </w:rPr>
            </w:pPr>
            <w:r w:rsidRPr="005629E6">
              <w:rPr>
                <w:rFonts w:cs="Arial"/>
                <w:b/>
                <w:bCs/>
                <w:iCs/>
                <w:sz w:val="22"/>
                <w:szCs w:val="22"/>
              </w:rPr>
              <w:t>Attainment</w:t>
            </w:r>
            <w:r w:rsidR="007F59BA" w:rsidRPr="005629E6">
              <w:rPr>
                <w:rFonts w:cs="Arial"/>
                <w:b/>
                <w:bCs/>
                <w:iCs/>
                <w:sz w:val="22"/>
                <w:szCs w:val="22"/>
              </w:rPr>
              <w:t xml:space="preserve">. </w:t>
            </w:r>
            <w:r w:rsidR="007F59BA" w:rsidRPr="005629E6">
              <w:rPr>
                <w:rFonts w:cs="Arial"/>
                <w:iCs/>
                <w:sz w:val="22"/>
                <w:szCs w:val="22"/>
              </w:rPr>
              <w:t xml:space="preserve">Most recent data </w:t>
            </w:r>
            <w:proofErr w:type="gramStart"/>
            <w:r w:rsidR="007F59BA" w:rsidRPr="005629E6">
              <w:rPr>
                <w:rFonts w:cs="Arial"/>
                <w:iCs/>
                <w:sz w:val="22"/>
                <w:szCs w:val="22"/>
              </w:rPr>
              <w:t>shows</w:t>
            </w:r>
            <w:proofErr w:type="gramEnd"/>
            <w:r w:rsidR="007F59BA" w:rsidRPr="005629E6">
              <w:rPr>
                <w:rFonts w:cs="Arial"/>
                <w:iCs/>
                <w:sz w:val="22"/>
                <w:szCs w:val="22"/>
              </w:rPr>
              <w:t xml:space="preserve"> </w:t>
            </w:r>
            <w:r w:rsidR="00840ADE" w:rsidRPr="005629E6">
              <w:rPr>
                <w:rFonts w:cs="Arial"/>
                <w:iCs/>
                <w:sz w:val="22"/>
                <w:szCs w:val="22"/>
              </w:rPr>
              <w:t xml:space="preserve">36% of our identified disadvantaged students are not meeting expected progress in three or more subjects. This issue is particularly prevalent in Year 11 where </w:t>
            </w:r>
            <w:r w:rsidR="002C17B8" w:rsidRPr="005629E6">
              <w:rPr>
                <w:rFonts w:cs="Arial"/>
                <w:iCs/>
                <w:sz w:val="22"/>
                <w:szCs w:val="22"/>
              </w:rPr>
              <w:t xml:space="preserve">84% of disadvantaged students are under performing in three or more subjects. This attainment gap mirrors a </w:t>
            </w:r>
            <w:r w:rsidR="0076211F" w:rsidRPr="005629E6">
              <w:rPr>
                <w:rFonts w:cs="Arial"/>
                <w:iCs/>
                <w:sz w:val="22"/>
                <w:szCs w:val="22"/>
              </w:rPr>
              <w:t xml:space="preserve">stubborn </w:t>
            </w:r>
            <w:r w:rsidR="006622D8">
              <w:rPr>
                <w:rFonts w:cs="Arial"/>
                <w:iCs/>
                <w:sz w:val="22"/>
                <w:szCs w:val="22"/>
              </w:rPr>
              <w:t xml:space="preserve">national </w:t>
            </w:r>
            <w:r w:rsidR="0076211F" w:rsidRPr="005629E6">
              <w:rPr>
                <w:rFonts w:cs="Arial"/>
                <w:iCs/>
                <w:sz w:val="22"/>
                <w:szCs w:val="22"/>
              </w:rPr>
              <w:t xml:space="preserve">attainment gap between those from </w:t>
            </w:r>
            <w:proofErr w:type="gramStart"/>
            <w:r w:rsidR="0076211F" w:rsidRPr="005629E6">
              <w:rPr>
                <w:rFonts w:cs="Arial"/>
                <w:iCs/>
                <w:sz w:val="22"/>
                <w:szCs w:val="22"/>
              </w:rPr>
              <w:t>low income</w:t>
            </w:r>
            <w:proofErr w:type="gramEnd"/>
            <w:r w:rsidR="0076211F" w:rsidRPr="005629E6">
              <w:rPr>
                <w:rFonts w:cs="Arial"/>
                <w:iCs/>
                <w:sz w:val="22"/>
                <w:szCs w:val="22"/>
              </w:rPr>
              <w:t xml:space="preserve"> families are those who are not. </w:t>
            </w:r>
            <w:r w:rsidR="004377A4" w:rsidRPr="005629E6">
              <w:rPr>
                <w:rFonts w:cs="Arial"/>
                <w:sz w:val="22"/>
                <w:szCs w:val="22"/>
              </w:rPr>
              <w:t>Students may have significant gaps in their core knowledge, skills and understanding - especially in key areas such as reading - which in turn may lead to weaker progress across the curriculum.</w:t>
            </w:r>
            <w:r w:rsidR="00BE411F" w:rsidRPr="005629E6">
              <w:rPr>
                <w:rFonts w:cs="Arial"/>
                <w:sz w:val="22"/>
                <w:szCs w:val="22"/>
              </w:rPr>
              <w:t xml:space="preserve"> Our 24-25 </w:t>
            </w:r>
            <w:r w:rsidR="00E801D3" w:rsidRPr="005629E6">
              <w:rPr>
                <w:rFonts w:cs="Arial"/>
                <w:sz w:val="22"/>
                <w:szCs w:val="22"/>
              </w:rPr>
              <w:t xml:space="preserve">Year 7 cohort </w:t>
            </w:r>
            <w:r w:rsidR="00E801D3" w:rsidRPr="005629E6">
              <w:rPr>
                <w:rFonts w:cs="Arial"/>
                <w:color w:val="000000"/>
                <w:sz w:val="22"/>
                <w:szCs w:val="22"/>
              </w:rPr>
              <w:t xml:space="preserve">arrived to us with 25% not meeting expected standard upon entry and 26% of those were identified as disadvantaged. </w:t>
            </w:r>
          </w:p>
          <w:p w14:paraId="2A7D54FA" w14:textId="6DCE4CB6" w:rsidR="00E66558" w:rsidRPr="007F59BA" w:rsidRDefault="00E66558" w:rsidP="00C31636">
            <w:pPr>
              <w:pStyle w:val="TableRowCentered"/>
              <w:ind w:left="0" w:right="0"/>
              <w:jc w:val="left"/>
              <w:rPr>
                <w:iCs/>
                <w:sz w:val="22"/>
              </w:rPr>
            </w:pPr>
          </w:p>
        </w:tc>
      </w:tr>
      <w:tr w:rsidR="00E66558" w14:paraId="2A7D54FE" w14:textId="77777777" w:rsidTr="37026FFC">
        <w:trPr>
          <w:trHeight w:val="300"/>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6" w:name="_Toc443397160"/>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D" w14:textId="5BF01CB9" w:rsidR="00E66558" w:rsidRPr="0076211F" w:rsidRDefault="00626F5D" w:rsidP="00C31636">
            <w:pPr>
              <w:pStyle w:val="TableRowCentered"/>
              <w:ind w:left="0" w:right="0"/>
              <w:jc w:val="left"/>
              <w:rPr>
                <w:iCs/>
                <w:sz w:val="22"/>
              </w:rPr>
            </w:pPr>
            <w:r w:rsidRPr="00626F5D">
              <w:rPr>
                <w:b/>
                <w:bCs/>
                <w:iCs/>
                <w:sz w:val="22"/>
              </w:rPr>
              <w:t>Well Being</w:t>
            </w:r>
            <w:r w:rsidR="0076211F">
              <w:rPr>
                <w:b/>
                <w:bCs/>
                <w:iCs/>
                <w:sz w:val="22"/>
              </w:rPr>
              <w:t xml:space="preserve">. </w:t>
            </w:r>
            <w:r w:rsidR="0076211F" w:rsidRPr="0076211F">
              <w:rPr>
                <w:iCs/>
                <w:sz w:val="22"/>
              </w:rPr>
              <w:t>Disadvantaged students</w:t>
            </w:r>
            <w:r w:rsidR="0076211F">
              <w:rPr>
                <w:iCs/>
                <w:sz w:val="22"/>
              </w:rPr>
              <w:t xml:space="preserve"> who are persistently absent and/or have frequent </w:t>
            </w:r>
            <w:r w:rsidR="00770B41">
              <w:rPr>
                <w:iCs/>
                <w:sz w:val="22"/>
              </w:rPr>
              <w:t>sanctions of isolations/suspensions are more likely to suffer with issues relating to their wellbeing and mental health. This becomes a cycle of self</w:t>
            </w:r>
            <w:r w:rsidR="008A0F16">
              <w:rPr>
                <w:iCs/>
                <w:sz w:val="22"/>
              </w:rPr>
              <w:t>-p</w:t>
            </w:r>
            <w:r w:rsidR="00770B41">
              <w:rPr>
                <w:iCs/>
                <w:sz w:val="22"/>
              </w:rPr>
              <w:t>erpetuation where</w:t>
            </w:r>
            <w:r w:rsidR="008A0F16">
              <w:rPr>
                <w:iCs/>
                <w:sz w:val="22"/>
              </w:rPr>
              <w:t xml:space="preserve"> students feel increasingly isolated from the school community and in turn, feel less able or inclined to attend. </w:t>
            </w:r>
          </w:p>
        </w:tc>
      </w:tr>
      <w:tr w:rsidR="00E61727" w14:paraId="329A6BEA" w14:textId="77777777" w:rsidTr="37026FFC">
        <w:trPr>
          <w:trHeight w:val="300"/>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35E06B" w14:textId="69570EBF" w:rsidR="00E61727" w:rsidRDefault="00E61727" w:rsidP="00C31636">
            <w:pPr>
              <w:pStyle w:val="TableRow"/>
              <w:ind w:left="0" w:right="0"/>
              <w:rPr>
                <w:sz w:val="22"/>
                <w:szCs w:val="22"/>
              </w:rPr>
            </w:pPr>
            <w:r>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EF3393" w14:textId="578B17BD" w:rsidR="00E61727" w:rsidRPr="002D5701" w:rsidRDefault="00E61727" w:rsidP="00C31636">
            <w:pPr>
              <w:pStyle w:val="TableRowCentered"/>
              <w:ind w:left="0" w:right="0"/>
              <w:jc w:val="left"/>
              <w:rPr>
                <w:iCs/>
                <w:sz w:val="22"/>
              </w:rPr>
            </w:pPr>
            <w:r>
              <w:rPr>
                <w:b/>
                <w:bCs/>
                <w:iCs/>
                <w:sz w:val="22"/>
              </w:rPr>
              <w:t xml:space="preserve">Access to </w:t>
            </w:r>
            <w:proofErr w:type="spellStart"/>
            <w:r>
              <w:rPr>
                <w:b/>
                <w:bCs/>
                <w:iCs/>
                <w:sz w:val="22"/>
              </w:rPr>
              <w:t>extra curricular</w:t>
            </w:r>
            <w:proofErr w:type="spellEnd"/>
            <w:r>
              <w:rPr>
                <w:b/>
                <w:bCs/>
                <w:iCs/>
                <w:sz w:val="22"/>
              </w:rPr>
              <w:t xml:space="preserve"> opportunities</w:t>
            </w:r>
            <w:r w:rsidR="008A0F16">
              <w:rPr>
                <w:b/>
                <w:bCs/>
                <w:iCs/>
                <w:sz w:val="22"/>
              </w:rPr>
              <w:t xml:space="preserve">. </w:t>
            </w:r>
            <w:r w:rsidR="002D5701">
              <w:rPr>
                <w:iCs/>
                <w:sz w:val="22"/>
              </w:rPr>
              <w:t>Due to financial restrictions, disadvantaged students may find it difficult to access</w:t>
            </w:r>
            <w:r w:rsidR="00A303E6">
              <w:rPr>
                <w:iCs/>
                <w:sz w:val="22"/>
              </w:rPr>
              <w:t xml:space="preserve"> extra-curricular activities or opportunities and may find it challenging to provide resources such as ingredients for food technology lessons. </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8E167E"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0400B7F1" w:rsidR="008E167E" w:rsidRPr="00B14EEA" w:rsidRDefault="008E167E" w:rsidP="00B14EEA">
            <w:pPr>
              <w:pStyle w:val="TableRow"/>
              <w:numPr>
                <w:ilvl w:val="0"/>
                <w:numId w:val="22"/>
              </w:numPr>
              <w:ind w:right="0"/>
              <w:rPr>
                <w:rFonts w:cs="Arial"/>
                <w:sz w:val="22"/>
                <w:szCs w:val="22"/>
              </w:rPr>
            </w:pPr>
            <w:r w:rsidRPr="00B14EEA">
              <w:rPr>
                <w:rStyle w:val="Strong"/>
                <w:rFonts w:cs="Arial"/>
                <w:sz w:val="22"/>
                <w:szCs w:val="22"/>
              </w:rPr>
              <w:t>Boost overall attendance</w:t>
            </w:r>
            <w:r w:rsidRPr="00B14EEA">
              <w:rPr>
                <w:rFonts w:cs="Arial"/>
                <w:sz w:val="22"/>
                <w:szCs w:val="22"/>
              </w:rPr>
              <w:t>, particularly among students receiving Pupil Premium (PP) funding, aiming to reduce absenteeism.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3322F23E" w:rsidR="008E167E" w:rsidRPr="00B14EEA" w:rsidRDefault="003341B7" w:rsidP="00B14EEA">
            <w:pPr>
              <w:pStyle w:val="TableRowCentered"/>
              <w:numPr>
                <w:ilvl w:val="0"/>
                <w:numId w:val="22"/>
              </w:numPr>
              <w:ind w:right="0"/>
              <w:jc w:val="left"/>
              <w:rPr>
                <w:rFonts w:cs="Arial"/>
                <w:sz w:val="22"/>
                <w:szCs w:val="22"/>
              </w:rPr>
            </w:pPr>
            <w:r w:rsidRPr="00B14EEA">
              <w:rPr>
                <w:rFonts w:cs="Arial"/>
                <w:sz w:val="22"/>
                <w:szCs w:val="22"/>
              </w:rPr>
              <w:t xml:space="preserve">Improved overall attendance, particularly a reduction in persistent absenteeism in disadvantaged students. </w:t>
            </w:r>
          </w:p>
        </w:tc>
      </w:tr>
      <w:tr w:rsidR="008E167E"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382A70C" w:rsidR="008E167E" w:rsidRPr="00B14EEA" w:rsidRDefault="008E167E" w:rsidP="00B14EEA">
            <w:pPr>
              <w:pStyle w:val="TableRow"/>
              <w:numPr>
                <w:ilvl w:val="0"/>
                <w:numId w:val="22"/>
              </w:numPr>
              <w:ind w:right="0"/>
              <w:rPr>
                <w:rFonts w:cs="Arial"/>
                <w:sz w:val="22"/>
                <w:szCs w:val="22"/>
              </w:rPr>
            </w:pPr>
            <w:r w:rsidRPr="00B14EEA">
              <w:rPr>
                <w:rStyle w:val="Strong"/>
                <w:rFonts w:cs="Arial"/>
                <w:sz w:val="22"/>
                <w:szCs w:val="22"/>
              </w:rPr>
              <w:t>Close the attainment gap</w:t>
            </w:r>
            <w:r w:rsidRPr="00B14EEA">
              <w:rPr>
                <w:rFonts w:cs="Arial"/>
                <w:sz w:val="22"/>
                <w:szCs w:val="22"/>
              </w:rPr>
              <w:t xml:space="preserve"> between disadvantaged students and their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61D6E5C2" w:rsidR="008E167E" w:rsidRPr="00B14EEA" w:rsidRDefault="00E5133F" w:rsidP="00B14EEA">
            <w:pPr>
              <w:pStyle w:val="TableRowCentered"/>
              <w:numPr>
                <w:ilvl w:val="0"/>
                <w:numId w:val="22"/>
              </w:numPr>
              <w:ind w:right="0"/>
              <w:jc w:val="left"/>
              <w:rPr>
                <w:rFonts w:cs="Arial"/>
                <w:sz w:val="22"/>
                <w:szCs w:val="22"/>
              </w:rPr>
            </w:pPr>
            <w:r w:rsidRPr="00B14EEA">
              <w:rPr>
                <w:rFonts w:cs="Arial"/>
                <w:sz w:val="22"/>
                <w:szCs w:val="22"/>
              </w:rPr>
              <w:t>Disadvantaged</w:t>
            </w:r>
            <w:r w:rsidR="0066558B" w:rsidRPr="00B14EEA">
              <w:rPr>
                <w:rFonts w:cs="Arial"/>
                <w:sz w:val="22"/>
                <w:szCs w:val="22"/>
              </w:rPr>
              <w:t xml:space="preserve"> students will make progress in line with or above their non-disadvantaged peers nationally. </w:t>
            </w:r>
          </w:p>
        </w:tc>
      </w:tr>
      <w:tr w:rsidR="008E167E"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21C54435" w:rsidR="008E167E" w:rsidRPr="00B14EEA" w:rsidRDefault="008E167E" w:rsidP="00B14EEA">
            <w:pPr>
              <w:pStyle w:val="TableRow"/>
              <w:numPr>
                <w:ilvl w:val="0"/>
                <w:numId w:val="22"/>
              </w:numPr>
              <w:ind w:right="0"/>
              <w:rPr>
                <w:rFonts w:cs="Arial"/>
                <w:sz w:val="22"/>
                <w:szCs w:val="22"/>
              </w:rPr>
            </w:pPr>
            <w:r w:rsidRPr="00B14EEA">
              <w:rPr>
                <w:rStyle w:val="Strong"/>
                <w:rFonts w:cs="Arial"/>
                <w:sz w:val="22"/>
                <w:szCs w:val="22"/>
              </w:rPr>
              <w:t>Support disadvantaged students</w:t>
            </w:r>
            <w:r w:rsidRPr="00B14EEA">
              <w:rPr>
                <w:rFonts w:cs="Arial"/>
                <w:sz w:val="22"/>
                <w:szCs w:val="22"/>
              </w:rPr>
              <w:t xml:space="preserve"> </w:t>
            </w:r>
            <w:r w:rsidR="00D74851" w:rsidRPr="00B14EEA">
              <w:rPr>
                <w:rFonts w:cs="Arial"/>
                <w:sz w:val="22"/>
                <w:szCs w:val="22"/>
              </w:rPr>
              <w:t xml:space="preserve">with regards to their behaviour and wellbeing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447E91FC" w:rsidR="008E167E" w:rsidRPr="00B14EEA" w:rsidRDefault="00E5133F" w:rsidP="00B14EEA">
            <w:pPr>
              <w:pStyle w:val="TableRowCentered"/>
              <w:numPr>
                <w:ilvl w:val="0"/>
                <w:numId w:val="22"/>
              </w:numPr>
              <w:ind w:right="0"/>
              <w:jc w:val="left"/>
              <w:rPr>
                <w:rFonts w:cs="Arial"/>
                <w:sz w:val="22"/>
                <w:szCs w:val="22"/>
              </w:rPr>
            </w:pPr>
            <w:r w:rsidRPr="00B14EEA">
              <w:rPr>
                <w:rFonts w:cs="Arial"/>
                <w:sz w:val="22"/>
                <w:szCs w:val="22"/>
              </w:rPr>
              <w:t xml:space="preserve">A reduction in </w:t>
            </w:r>
            <w:r w:rsidR="000143E7" w:rsidRPr="00B14EEA">
              <w:rPr>
                <w:rFonts w:cs="Arial"/>
                <w:sz w:val="22"/>
                <w:szCs w:val="22"/>
              </w:rPr>
              <w:t>suspensions and isolations</w:t>
            </w:r>
            <w:r w:rsidRPr="00B14EEA">
              <w:rPr>
                <w:rFonts w:cs="Arial"/>
                <w:sz w:val="22"/>
                <w:szCs w:val="22"/>
              </w:rPr>
              <w:t xml:space="preserve"> in </w:t>
            </w:r>
            <w:r w:rsidR="000143E7" w:rsidRPr="00B14EEA">
              <w:rPr>
                <w:rFonts w:cs="Arial"/>
                <w:sz w:val="22"/>
                <w:szCs w:val="22"/>
              </w:rPr>
              <w:t xml:space="preserve">the disadvantaged student group. Students able to access support in a timely </w:t>
            </w:r>
            <w:r w:rsidR="00E67F1D" w:rsidRPr="00B14EEA">
              <w:rPr>
                <w:rFonts w:cs="Arial"/>
                <w:sz w:val="22"/>
                <w:szCs w:val="22"/>
              </w:rPr>
              <w:t xml:space="preserve">manner to support wellbeing. </w:t>
            </w:r>
          </w:p>
        </w:tc>
      </w:tr>
      <w:tr w:rsidR="008E167E" w14:paraId="6B801C5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4CB9C" w14:textId="44215749" w:rsidR="008E167E" w:rsidRPr="00B14EEA" w:rsidRDefault="000826A4" w:rsidP="00B14EEA">
            <w:pPr>
              <w:pStyle w:val="TableRow"/>
              <w:numPr>
                <w:ilvl w:val="0"/>
                <w:numId w:val="22"/>
              </w:numPr>
              <w:ind w:right="0"/>
              <w:rPr>
                <w:rFonts w:cs="Arial"/>
                <w:sz w:val="22"/>
                <w:szCs w:val="22"/>
              </w:rPr>
            </w:pPr>
            <w:r w:rsidRPr="00B14EEA">
              <w:rPr>
                <w:rFonts w:cs="Arial"/>
                <w:b/>
                <w:bCs/>
                <w:sz w:val="22"/>
                <w:szCs w:val="22"/>
              </w:rPr>
              <w:lastRenderedPageBreak/>
              <w:t>Ensure</w:t>
            </w:r>
            <w:r w:rsidRPr="00B14EEA">
              <w:rPr>
                <w:rFonts w:cs="Arial"/>
                <w:sz w:val="22"/>
                <w:szCs w:val="22"/>
              </w:rPr>
              <w:t xml:space="preserve"> disadvantaged students </w:t>
            </w:r>
            <w:r w:rsidR="00B14EEA" w:rsidRPr="00B14EEA">
              <w:rPr>
                <w:rFonts w:cs="Arial"/>
                <w:sz w:val="22"/>
                <w:szCs w:val="22"/>
              </w:rPr>
              <w:t>can</w:t>
            </w:r>
            <w:r w:rsidRPr="00B14EEA">
              <w:rPr>
                <w:rFonts w:cs="Arial"/>
                <w:sz w:val="22"/>
                <w:szCs w:val="22"/>
              </w:rPr>
              <w:t xml:space="preserve"> take advantage of </w:t>
            </w:r>
            <w:r w:rsidR="00CF3909" w:rsidRPr="00B14EEA">
              <w:rPr>
                <w:rFonts w:cs="Arial"/>
                <w:sz w:val="22"/>
                <w:szCs w:val="22"/>
              </w:rPr>
              <w:t xml:space="preserve">breadth of opportunities at the school.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40DBE" w14:textId="66FF799E" w:rsidR="008E167E" w:rsidRPr="00B14EEA" w:rsidRDefault="00E67F1D" w:rsidP="00B14EEA">
            <w:pPr>
              <w:pStyle w:val="TableRowCentered"/>
              <w:numPr>
                <w:ilvl w:val="0"/>
                <w:numId w:val="22"/>
              </w:numPr>
              <w:ind w:right="0"/>
              <w:jc w:val="left"/>
              <w:rPr>
                <w:rFonts w:cs="Arial"/>
                <w:sz w:val="22"/>
                <w:szCs w:val="22"/>
              </w:rPr>
            </w:pPr>
            <w:r w:rsidRPr="00B14EEA">
              <w:rPr>
                <w:rFonts w:cs="Arial"/>
                <w:sz w:val="22"/>
                <w:szCs w:val="22"/>
              </w:rPr>
              <w:t>Disadvantaged students accessing extra</w:t>
            </w:r>
            <w:r w:rsidR="00B14EEA">
              <w:rPr>
                <w:rFonts w:cs="Arial"/>
                <w:sz w:val="22"/>
                <w:szCs w:val="22"/>
              </w:rPr>
              <w:t>-</w:t>
            </w:r>
            <w:r w:rsidRPr="00B14EEA">
              <w:rPr>
                <w:rFonts w:cs="Arial"/>
                <w:sz w:val="22"/>
                <w:szCs w:val="22"/>
              </w:rPr>
              <w:t xml:space="preserve">curricular opportunities in line with their non-disadvantaged peers. Uptake in subjects like food tech </w:t>
            </w:r>
            <w:r w:rsidR="00B14EEA" w:rsidRPr="00B14EEA">
              <w:rPr>
                <w:rFonts w:cs="Arial"/>
                <w:sz w:val="22"/>
                <w:szCs w:val="22"/>
              </w:rPr>
              <w:t xml:space="preserve">in line with non-disadvantaged peers. </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AC1715F" w:rsidR="00E66558" w:rsidRDefault="009D71E8">
      <w:r>
        <w:t xml:space="preserve">Budgeted cost: £ </w:t>
      </w:r>
      <w:r w:rsidR="0047233E" w:rsidRPr="0047233E">
        <w:t>28257.50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41CF5" w14:textId="77777777" w:rsidR="00E66558" w:rsidRPr="00C67739" w:rsidRDefault="002E4690" w:rsidP="00C31636">
            <w:pPr>
              <w:pStyle w:val="TableRow"/>
              <w:ind w:left="0" w:right="0"/>
              <w:rPr>
                <w:sz w:val="22"/>
                <w:szCs w:val="22"/>
              </w:rPr>
            </w:pPr>
            <w:r w:rsidRPr="00C67739">
              <w:rPr>
                <w:sz w:val="22"/>
                <w:szCs w:val="22"/>
              </w:rPr>
              <w:t>Review of curriculum materials to ensure an inclusive learning environment and accessibility for all and created to promote high aspirations with no curriculum narrowing.</w:t>
            </w:r>
          </w:p>
          <w:p w14:paraId="5F579E3A" w14:textId="77777777" w:rsidR="002E4690" w:rsidRPr="00C67739" w:rsidRDefault="002E4690" w:rsidP="00C31636">
            <w:pPr>
              <w:pStyle w:val="TableRow"/>
              <w:ind w:left="0" w:right="0"/>
              <w:rPr>
                <w:sz w:val="22"/>
                <w:szCs w:val="22"/>
              </w:rPr>
            </w:pPr>
          </w:p>
          <w:p w14:paraId="2A7D551A" w14:textId="04E2A553" w:rsidR="002E4690" w:rsidRPr="00C67739" w:rsidRDefault="001A6276" w:rsidP="00C31636">
            <w:pPr>
              <w:pStyle w:val="TableRow"/>
              <w:ind w:left="0" w:right="0"/>
              <w:rPr>
                <w:sz w:val="22"/>
                <w:szCs w:val="22"/>
              </w:rPr>
            </w:pPr>
            <w:r w:rsidRPr="00C67739">
              <w:rPr>
                <w:sz w:val="22"/>
                <w:szCs w:val="22"/>
              </w:rPr>
              <w:t>Quality assurance of curriculum to ensure ambitious yet accessible to all. Classroom resources including access to assistive technology e.g., visualisers, tablets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D66F8" w14:textId="77777777" w:rsidR="001A6276" w:rsidRPr="00C67739" w:rsidRDefault="001A6276" w:rsidP="00C31636">
            <w:pPr>
              <w:pStyle w:val="TableRowCentered"/>
              <w:ind w:left="0" w:right="0"/>
              <w:jc w:val="left"/>
              <w:rPr>
                <w:sz w:val="22"/>
                <w:szCs w:val="22"/>
              </w:rPr>
            </w:pPr>
            <w:r w:rsidRPr="00C67739">
              <w:rPr>
                <w:sz w:val="22"/>
                <w:szCs w:val="22"/>
              </w:rPr>
              <w:t xml:space="preserve">Bridging the Word Gap at Transition. The Oxford Language report 2020 </w:t>
            </w:r>
          </w:p>
          <w:p w14:paraId="01917323" w14:textId="77777777" w:rsidR="001A6276" w:rsidRPr="00C67739" w:rsidRDefault="001A6276" w:rsidP="00C31636">
            <w:pPr>
              <w:pStyle w:val="TableRowCentered"/>
              <w:ind w:left="0" w:right="0"/>
              <w:jc w:val="left"/>
              <w:rPr>
                <w:sz w:val="22"/>
                <w:szCs w:val="22"/>
              </w:rPr>
            </w:pPr>
          </w:p>
          <w:p w14:paraId="0599733A" w14:textId="77777777" w:rsidR="00E66558" w:rsidRPr="00C67739" w:rsidRDefault="001A6276" w:rsidP="00C31636">
            <w:pPr>
              <w:pStyle w:val="TableRowCentered"/>
              <w:ind w:left="0" w:right="0"/>
              <w:jc w:val="left"/>
              <w:rPr>
                <w:sz w:val="22"/>
                <w:szCs w:val="22"/>
              </w:rPr>
            </w:pPr>
            <w:r w:rsidRPr="00C67739">
              <w:rPr>
                <w:sz w:val="22"/>
                <w:szCs w:val="22"/>
              </w:rPr>
              <w:t>Closing the Vocabulary Gap- Alex Quigley, David Fulton Books, April 2018</w:t>
            </w:r>
          </w:p>
          <w:p w14:paraId="1ACB2F6A" w14:textId="77777777" w:rsidR="001A6276" w:rsidRPr="00C67739" w:rsidRDefault="001A6276" w:rsidP="00C31636">
            <w:pPr>
              <w:pStyle w:val="TableRowCentered"/>
              <w:ind w:left="0" w:right="0"/>
              <w:jc w:val="left"/>
              <w:rPr>
                <w:sz w:val="22"/>
                <w:szCs w:val="22"/>
              </w:rPr>
            </w:pPr>
          </w:p>
          <w:p w14:paraId="51DCF5A5" w14:textId="77777777" w:rsidR="00BE2E17" w:rsidRPr="00C67739" w:rsidRDefault="00BE2E17" w:rsidP="00C31636">
            <w:pPr>
              <w:pStyle w:val="TableRowCentered"/>
              <w:ind w:left="0" w:right="0"/>
              <w:jc w:val="left"/>
              <w:rPr>
                <w:sz w:val="22"/>
                <w:szCs w:val="22"/>
              </w:rPr>
            </w:pPr>
            <w:r w:rsidRPr="00C67739">
              <w:rPr>
                <w:sz w:val="22"/>
                <w:szCs w:val="22"/>
              </w:rPr>
              <w:t xml:space="preserve">Oral Language Interventions, Education Endowment Foundation Teaching and Learning Toolkit </w:t>
            </w:r>
          </w:p>
          <w:p w14:paraId="40A6EFCF" w14:textId="77777777" w:rsidR="00BE2E17" w:rsidRPr="00C67739" w:rsidRDefault="00BE2E17" w:rsidP="00C31636">
            <w:pPr>
              <w:pStyle w:val="TableRowCentered"/>
              <w:ind w:left="0" w:right="0"/>
              <w:jc w:val="left"/>
              <w:rPr>
                <w:sz w:val="22"/>
                <w:szCs w:val="22"/>
              </w:rPr>
            </w:pPr>
          </w:p>
          <w:p w14:paraId="4D86535C" w14:textId="77777777" w:rsidR="00BE2E17" w:rsidRPr="00C67739" w:rsidRDefault="00BE2E17" w:rsidP="00C31636">
            <w:pPr>
              <w:pStyle w:val="TableRowCentered"/>
              <w:ind w:left="0" w:right="0"/>
              <w:jc w:val="left"/>
              <w:rPr>
                <w:sz w:val="22"/>
                <w:szCs w:val="22"/>
              </w:rPr>
            </w:pPr>
            <w:r w:rsidRPr="00C67739">
              <w:rPr>
                <w:sz w:val="22"/>
                <w:szCs w:val="22"/>
              </w:rPr>
              <w:t xml:space="preserve">Reading Comprehension Strategies, Education Endowment Foundation Teaching and Learning Toolkit </w:t>
            </w:r>
          </w:p>
          <w:p w14:paraId="5E864014" w14:textId="77777777" w:rsidR="00BE2E17" w:rsidRPr="00C67739" w:rsidRDefault="00BE2E17" w:rsidP="00C31636">
            <w:pPr>
              <w:pStyle w:val="TableRowCentered"/>
              <w:ind w:left="0" w:right="0"/>
              <w:jc w:val="left"/>
              <w:rPr>
                <w:sz w:val="22"/>
                <w:szCs w:val="22"/>
              </w:rPr>
            </w:pPr>
          </w:p>
          <w:p w14:paraId="2A7D551B" w14:textId="3538C910" w:rsidR="001A6276" w:rsidRPr="00C67739" w:rsidRDefault="00BE2E17" w:rsidP="00C31636">
            <w:pPr>
              <w:pStyle w:val="TableRowCentered"/>
              <w:ind w:left="0" w:right="0"/>
              <w:jc w:val="left"/>
              <w:rPr>
                <w:sz w:val="22"/>
                <w:szCs w:val="22"/>
              </w:rPr>
            </w:pPr>
            <w:r w:rsidRPr="00C67739">
              <w:rPr>
                <w:sz w:val="22"/>
                <w:szCs w:val="22"/>
              </w:rPr>
              <w:t>Using Digital Technology to Improve Learning Educational Endowment Foundation Guidance Report, August 2019.</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A123E6F" w:rsidR="00E66558" w:rsidRPr="00C67739" w:rsidRDefault="00FF4EF3" w:rsidP="00C31636">
            <w:pPr>
              <w:pStyle w:val="TableRowCentered"/>
              <w:ind w:left="0" w:right="0"/>
              <w:jc w:val="left"/>
              <w:rPr>
                <w:sz w:val="22"/>
                <w:szCs w:val="22"/>
              </w:rPr>
            </w:pPr>
            <w:r w:rsidRPr="00C67739">
              <w:rPr>
                <w:sz w:val="22"/>
                <w:szCs w:val="22"/>
              </w:rPr>
              <w:t>4</w:t>
            </w:r>
            <w:r w:rsidR="00FC0A2E" w:rsidRPr="00C67739">
              <w:rPr>
                <w:sz w:val="22"/>
                <w:szCs w:val="22"/>
              </w:rPr>
              <w:t>, 3</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DBFE" w14:textId="77777777" w:rsidR="0035659F" w:rsidRPr="00C67739" w:rsidRDefault="0035659F" w:rsidP="00C31636">
            <w:pPr>
              <w:pStyle w:val="TableRow"/>
              <w:ind w:left="0" w:right="0"/>
              <w:rPr>
                <w:sz w:val="22"/>
                <w:szCs w:val="22"/>
              </w:rPr>
            </w:pPr>
            <w:r w:rsidRPr="00C67739">
              <w:rPr>
                <w:sz w:val="22"/>
                <w:szCs w:val="22"/>
              </w:rPr>
              <w:t xml:space="preserve">Focus on increasing literacy skills of all students across the curriculum. </w:t>
            </w:r>
          </w:p>
          <w:p w14:paraId="42F1CA33" w14:textId="77777777" w:rsidR="0035659F" w:rsidRPr="00C67739" w:rsidRDefault="0035659F" w:rsidP="00C31636">
            <w:pPr>
              <w:pStyle w:val="TableRow"/>
              <w:ind w:left="0" w:right="0"/>
              <w:rPr>
                <w:sz w:val="22"/>
                <w:szCs w:val="22"/>
              </w:rPr>
            </w:pPr>
          </w:p>
          <w:p w14:paraId="101ED54B" w14:textId="0F092863" w:rsidR="00E66558" w:rsidRPr="00C67739" w:rsidRDefault="0035659F" w:rsidP="0035659F">
            <w:pPr>
              <w:pStyle w:val="TableRow"/>
              <w:numPr>
                <w:ilvl w:val="0"/>
                <w:numId w:val="29"/>
              </w:numPr>
              <w:ind w:right="0"/>
              <w:rPr>
                <w:i/>
                <w:sz w:val="22"/>
                <w:szCs w:val="22"/>
              </w:rPr>
            </w:pPr>
            <w:r w:rsidRPr="00C67739">
              <w:rPr>
                <w:sz w:val="22"/>
                <w:szCs w:val="22"/>
              </w:rPr>
              <w:t xml:space="preserve">ART </w:t>
            </w:r>
            <w:r w:rsidR="00D20C7C" w:rsidRPr="00C67739">
              <w:rPr>
                <w:sz w:val="22"/>
                <w:szCs w:val="22"/>
              </w:rPr>
              <w:t xml:space="preserve">(Centralised Trust Initiative) </w:t>
            </w:r>
          </w:p>
          <w:p w14:paraId="4A6DC5B4" w14:textId="77777777" w:rsidR="0035659F" w:rsidRPr="00C67739" w:rsidRDefault="00EE5193" w:rsidP="0035659F">
            <w:pPr>
              <w:pStyle w:val="TableRow"/>
              <w:numPr>
                <w:ilvl w:val="0"/>
                <w:numId w:val="29"/>
              </w:numPr>
              <w:ind w:right="0"/>
              <w:rPr>
                <w:i/>
                <w:sz w:val="22"/>
                <w:szCs w:val="22"/>
              </w:rPr>
            </w:pPr>
            <w:r w:rsidRPr="00C67739">
              <w:rPr>
                <w:sz w:val="22"/>
                <w:szCs w:val="22"/>
              </w:rPr>
              <w:t xml:space="preserve">Raising profile of literacy, </w:t>
            </w:r>
            <w:r w:rsidRPr="00C67739">
              <w:rPr>
                <w:sz w:val="22"/>
                <w:szCs w:val="22"/>
              </w:rPr>
              <w:lastRenderedPageBreak/>
              <w:t xml:space="preserve">specifically </w:t>
            </w:r>
            <w:proofErr w:type="spellStart"/>
            <w:r w:rsidRPr="00C67739">
              <w:rPr>
                <w:sz w:val="22"/>
                <w:szCs w:val="22"/>
              </w:rPr>
              <w:t>Sp</w:t>
            </w:r>
            <w:r w:rsidR="00195B9A" w:rsidRPr="00C67739">
              <w:rPr>
                <w:sz w:val="22"/>
                <w:szCs w:val="22"/>
              </w:rPr>
              <w:t>a</w:t>
            </w:r>
            <w:r w:rsidRPr="00C67739">
              <w:rPr>
                <w:sz w:val="22"/>
                <w:szCs w:val="22"/>
              </w:rPr>
              <w:t>G</w:t>
            </w:r>
            <w:proofErr w:type="spellEnd"/>
            <w:r w:rsidRPr="00C67739">
              <w:rPr>
                <w:sz w:val="22"/>
                <w:szCs w:val="22"/>
              </w:rPr>
              <w:t xml:space="preserve"> with each department </w:t>
            </w:r>
            <w:r w:rsidR="00195B9A" w:rsidRPr="00C67739">
              <w:rPr>
                <w:sz w:val="22"/>
                <w:szCs w:val="22"/>
              </w:rPr>
              <w:t xml:space="preserve">developing their own </w:t>
            </w:r>
            <w:proofErr w:type="spellStart"/>
            <w:r w:rsidR="00195B9A" w:rsidRPr="00C67739">
              <w:rPr>
                <w:sz w:val="22"/>
                <w:szCs w:val="22"/>
              </w:rPr>
              <w:t>SpaG</w:t>
            </w:r>
            <w:proofErr w:type="spellEnd"/>
            <w:r w:rsidR="00195B9A" w:rsidRPr="00C67739">
              <w:rPr>
                <w:sz w:val="22"/>
                <w:szCs w:val="22"/>
              </w:rPr>
              <w:t xml:space="preserve"> policy with explicit teaching interwoven in the curriculum.</w:t>
            </w:r>
          </w:p>
          <w:p w14:paraId="2A7D551E" w14:textId="04C10824" w:rsidR="00B53881" w:rsidRPr="00C67739" w:rsidRDefault="00B53881" w:rsidP="0035659F">
            <w:pPr>
              <w:pStyle w:val="TableRow"/>
              <w:numPr>
                <w:ilvl w:val="0"/>
                <w:numId w:val="29"/>
              </w:numPr>
              <w:ind w:right="0"/>
              <w:rPr>
                <w:i/>
                <w:sz w:val="22"/>
                <w:szCs w:val="22"/>
              </w:rPr>
            </w:pPr>
            <w:r w:rsidRPr="00C67739">
              <w:rPr>
                <w:iCs/>
                <w:sz w:val="22"/>
                <w:szCs w:val="22"/>
              </w:rPr>
              <w:t xml:space="preserve">Weekly focus on oracy – all students </w:t>
            </w:r>
            <w:r w:rsidR="000D3DDF" w:rsidRPr="00C67739">
              <w:rPr>
                <w:iCs/>
                <w:sz w:val="22"/>
                <w:szCs w:val="22"/>
              </w:rPr>
              <w:t xml:space="preserve">take part at least once a week during targeted form-time activity.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9C37" w14:textId="77777777" w:rsidR="00D20C7C" w:rsidRPr="00C67739" w:rsidRDefault="00D20C7C" w:rsidP="00C31636">
            <w:pPr>
              <w:pStyle w:val="TableRowCentered"/>
              <w:ind w:left="0" w:right="0"/>
              <w:jc w:val="left"/>
              <w:rPr>
                <w:sz w:val="22"/>
                <w:szCs w:val="22"/>
              </w:rPr>
            </w:pPr>
            <w:r w:rsidRPr="00C67739">
              <w:rPr>
                <w:sz w:val="22"/>
                <w:szCs w:val="22"/>
              </w:rPr>
              <w:lastRenderedPageBreak/>
              <w:t xml:space="preserve">Bridging the Word Gap at Transition. The Oxford Language report 2020 </w:t>
            </w:r>
          </w:p>
          <w:p w14:paraId="7FDC6DB0" w14:textId="77777777" w:rsidR="00D20C7C" w:rsidRPr="00C67739" w:rsidRDefault="00D20C7C" w:rsidP="00C31636">
            <w:pPr>
              <w:pStyle w:val="TableRowCentered"/>
              <w:ind w:left="0" w:right="0"/>
              <w:jc w:val="left"/>
              <w:rPr>
                <w:sz w:val="22"/>
                <w:szCs w:val="22"/>
              </w:rPr>
            </w:pPr>
          </w:p>
          <w:p w14:paraId="4410CD10" w14:textId="77777777" w:rsidR="00D20C7C" w:rsidRPr="00C67739" w:rsidRDefault="00D20C7C" w:rsidP="00C31636">
            <w:pPr>
              <w:pStyle w:val="TableRowCentered"/>
              <w:ind w:left="0" w:right="0"/>
              <w:jc w:val="left"/>
              <w:rPr>
                <w:sz w:val="22"/>
                <w:szCs w:val="22"/>
              </w:rPr>
            </w:pPr>
            <w:r w:rsidRPr="00C67739">
              <w:rPr>
                <w:sz w:val="22"/>
                <w:szCs w:val="22"/>
              </w:rPr>
              <w:t xml:space="preserve">Closing the Vocabulary Gap- Alex Quigley, David Fulton Books, April 2018 </w:t>
            </w:r>
          </w:p>
          <w:p w14:paraId="00683B44" w14:textId="77777777" w:rsidR="00D20C7C" w:rsidRPr="00C67739" w:rsidRDefault="00D20C7C" w:rsidP="00C31636">
            <w:pPr>
              <w:pStyle w:val="TableRowCentered"/>
              <w:ind w:left="0" w:right="0"/>
              <w:jc w:val="left"/>
              <w:rPr>
                <w:sz w:val="22"/>
                <w:szCs w:val="22"/>
              </w:rPr>
            </w:pPr>
          </w:p>
          <w:p w14:paraId="1FA25FEB" w14:textId="77777777" w:rsidR="00D20C7C" w:rsidRPr="00C67739" w:rsidRDefault="00D20C7C" w:rsidP="00C31636">
            <w:pPr>
              <w:pStyle w:val="TableRowCentered"/>
              <w:ind w:left="0" w:right="0"/>
              <w:jc w:val="left"/>
              <w:rPr>
                <w:sz w:val="22"/>
                <w:szCs w:val="22"/>
              </w:rPr>
            </w:pPr>
            <w:r w:rsidRPr="00C67739">
              <w:rPr>
                <w:sz w:val="22"/>
                <w:szCs w:val="22"/>
              </w:rPr>
              <w:t xml:space="preserve">Oral Language Interventions, Education Endowment Foundation Teaching and Learning Toolkit </w:t>
            </w:r>
          </w:p>
          <w:p w14:paraId="30330C88" w14:textId="77777777" w:rsidR="00D20C7C" w:rsidRPr="00C67739" w:rsidRDefault="00D20C7C" w:rsidP="00C31636">
            <w:pPr>
              <w:pStyle w:val="TableRowCentered"/>
              <w:ind w:left="0" w:right="0"/>
              <w:jc w:val="left"/>
              <w:rPr>
                <w:sz w:val="22"/>
                <w:szCs w:val="22"/>
              </w:rPr>
            </w:pPr>
          </w:p>
          <w:p w14:paraId="2A7D551F" w14:textId="33466F92" w:rsidR="00E66558" w:rsidRPr="00C67739" w:rsidRDefault="00D20C7C" w:rsidP="00C31636">
            <w:pPr>
              <w:pStyle w:val="TableRowCentered"/>
              <w:ind w:left="0" w:right="0"/>
              <w:jc w:val="left"/>
              <w:rPr>
                <w:sz w:val="22"/>
                <w:szCs w:val="22"/>
              </w:rPr>
            </w:pPr>
            <w:r w:rsidRPr="00C67739">
              <w:rPr>
                <w:sz w:val="22"/>
                <w:szCs w:val="22"/>
              </w:rPr>
              <w:t>Reading Comprehension Strategies, Education Endowment Foundation Teaching and Learning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1F82FBB7" w:rsidR="00E66558" w:rsidRPr="00C67739" w:rsidRDefault="00FC0A2E" w:rsidP="00C31636">
            <w:pPr>
              <w:pStyle w:val="TableRowCentered"/>
              <w:ind w:left="0" w:right="0"/>
              <w:jc w:val="left"/>
              <w:rPr>
                <w:sz w:val="22"/>
                <w:szCs w:val="22"/>
              </w:rPr>
            </w:pPr>
            <w:r w:rsidRPr="00C67739">
              <w:rPr>
                <w:sz w:val="22"/>
                <w:szCs w:val="22"/>
              </w:rPr>
              <w:lastRenderedPageBreak/>
              <w:t>1, 4</w:t>
            </w:r>
          </w:p>
        </w:tc>
      </w:tr>
      <w:tr w:rsidR="009531C0" w14:paraId="03B1041C" w14:textId="77777777" w:rsidTr="0099232D">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BDFC7" w14:textId="6367BBA1" w:rsidR="00EE0B7A" w:rsidRPr="00C67739" w:rsidRDefault="009531C0" w:rsidP="00EE0B7A">
            <w:pPr>
              <w:numPr>
                <w:ilvl w:val="0"/>
                <w:numId w:val="30"/>
              </w:numPr>
              <w:suppressAutoHyphens w:val="0"/>
              <w:autoSpaceDN/>
              <w:spacing w:before="100" w:beforeAutospacing="1" w:after="100" w:afterAutospacing="1" w:line="240" w:lineRule="auto"/>
              <w:rPr>
                <w:sz w:val="22"/>
                <w:szCs w:val="22"/>
              </w:rPr>
            </w:pPr>
            <w:r w:rsidRPr="00C67739">
              <w:rPr>
                <w:sz w:val="22"/>
                <w:szCs w:val="22"/>
              </w:rPr>
              <w:t>High quality teacher training</w:t>
            </w:r>
            <w:r w:rsidR="007176C5" w:rsidRPr="00C67739">
              <w:rPr>
                <w:sz w:val="22"/>
                <w:szCs w:val="22"/>
              </w:rPr>
              <w:t>:</w:t>
            </w:r>
            <w:r w:rsidRPr="00C67739">
              <w:rPr>
                <w:sz w:val="22"/>
                <w:szCs w:val="22"/>
              </w:rPr>
              <w:t xml:space="preserve"> </w:t>
            </w:r>
            <w:r w:rsidR="00EE0B7A" w:rsidRPr="00C67739">
              <w:rPr>
                <w:sz w:val="22"/>
                <w:szCs w:val="22"/>
              </w:rPr>
              <w:t xml:space="preserve">Investing in </w:t>
            </w:r>
            <w:r w:rsidR="00EE0B7A" w:rsidRPr="00C67739">
              <w:rPr>
                <w:rStyle w:val="Strong"/>
                <w:sz w:val="22"/>
                <w:szCs w:val="22"/>
              </w:rPr>
              <w:t>professional development</w:t>
            </w:r>
            <w:r w:rsidR="00EE0B7A" w:rsidRPr="00C67739">
              <w:rPr>
                <w:sz w:val="22"/>
                <w:szCs w:val="22"/>
              </w:rPr>
              <w:t xml:space="preserve"> for teachers, focusing on evidence-based strategies to improve teaching quality</w:t>
            </w:r>
            <w:r w:rsidR="00A86119" w:rsidRPr="00C67739">
              <w:rPr>
                <w:sz w:val="22"/>
                <w:szCs w:val="22"/>
              </w:rPr>
              <w:t xml:space="preserve">; </w:t>
            </w:r>
            <w:proofErr w:type="gramStart"/>
            <w:r w:rsidR="00A86119" w:rsidRPr="00C67739">
              <w:rPr>
                <w:sz w:val="22"/>
                <w:szCs w:val="22"/>
              </w:rPr>
              <w:t>specifically</w:t>
            </w:r>
            <w:proofErr w:type="gramEnd"/>
            <w:r w:rsidR="00A86119" w:rsidRPr="00C67739">
              <w:rPr>
                <w:sz w:val="22"/>
                <w:szCs w:val="22"/>
              </w:rPr>
              <w:t xml:space="preserve"> metacognition, explicit instruction and retrieval practice. </w:t>
            </w:r>
          </w:p>
          <w:p w14:paraId="36638321" w14:textId="2B24A804" w:rsidR="009531C0" w:rsidRPr="00C67739" w:rsidRDefault="009531C0" w:rsidP="009531C0">
            <w:pPr>
              <w:pStyle w:val="TableRow"/>
              <w:ind w:left="0" w:right="0"/>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1321C" w14:textId="77777777" w:rsidR="009531C0" w:rsidRPr="00C67739" w:rsidRDefault="009531C0" w:rsidP="009531C0">
            <w:pPr>
              <w:pStyle w:val="TableRowCentered"/>
              <w:ind w:left="0" w:right="0"/>
              <w:jc w:val="left"/>
              <w:rPr>
                <w:sz w:val="22"/>
                <w:szCs w:val="22"/>
              </w:rPr>
            </w:pPr>
            <w:r w:rsidRPr="00C67739">
              <w:rPr>
                <w:sz w:val="22"/>
                <w:szCs w:val="22"/>
              </w:rPr>
              <w:t xml:space="preserve">High-quality teaching benefits all students (EEF: </w:t>
            </w:r>
            <w:r w:rsidRPr="00C67739">
              <w:rPr>
                <w:rStyle w:val="Emphasis"/>
                <w:sz w:val="22"/>
                <w:szCs w:val="22"/>
              </w:rPr>
              <w:t>Effective Professional Development</w:t>
            </w:r>
            <w:r w:rsidRPr="00C67739">
              <w:rPr>
                <w:sz w:val="22"/>
                <w:szCs w:val="22"/>
              </w:rPr>
              <w:t>).</w:t>
            </w:r>
          </w:p>
          <w:p w14:paraId="36527902" w14:textId="77777777" w:rsidR="002D363B" w:rsidRPr="00C67739" w:rsidRDefault="002D363B" w:rsidP="009531C0">
            <w:pPr>
              <w:pStyle w:val="TableRowCentered"/>
              <w:ind w:left="0" w:right="0"/>
              <w:jc w:val="left"/>
              <w:rPr>
                <w:sz w:val="22"/>
                <w:szCs w:val="22"/>
              </w:rPr>
            </w:pPr>
          </w:p>
          <w:p w14:paraId="205F8466" w14:textId="77777777" w:rsidR="00EE0B7A" w:rsidRPr="00C67739" w:rsidRDefault="002D363B" w:rsidP="009531C0">
            <w:pPr>
              <w:pStyle w:val="TableRowCentered"/>
              <w:ind w:left="0" w:right="0"/>
              <w:jc w:val="left"/>
              <w:rPr>
                <w:sz w:val="22"/>
                <w:szCs w:val="22"/>
              </w:rPr>
            </w:pPr>
            <w:r w:rsidRPr="00C67739">
              <w:rPr>
                <w:sz w:val="22"/>
                <w:szCs w:val="22"/>
              </w:rPr>
              <w:t xml:space="preserve">(EEF: </w:t>
            </w:r>
            <w:r w:rsidRPr="00C67739">
              <w:rPr>
                <w:rStyle w:val="Emphasis"/>
                <w:sz w:val="22"/>
                <w:szCs w:val="22"/>
              </w:rPr>
              <w:t>Metacognition and Self-Regulated Learning</w:t>
            </w:r>
            <w:r w:rsidRPr="00C67739">
              <w:rPr>
                <w:sz w:val="22"/>
                <w:szCs w:val="22"/>
              </w:rPr>
              <w:t>).</w:t>
            </w:r>
            <w:r w:rsidR="00EE0B7A" w:rsidRPr="00C67739">
              <w:rPr>
                <w:sz w:val="22"/>
                <w:szCs w:val="22"/>
              </w:rPr>
              <w:t xml:space="preserve"> </w:t>
            </w:r>
          </w:p>
          <w:p w14:paraId="0A0921D8" w14:textId="77777777" w:rsidR="00EE0B7A" w:rsidRPr="00C67739" w:rsidRDefault="00EE0B7A" w:rsidP="009531C0">
            <w:pPr>
              <w:pStyle w:val="TableRowCentered"/>
              <w:ind w:left="0" w:right="0"/>
              <w:jc w:val="left"/>
              <w:rPr>
                <w:sz w:val="22"/>
                <w:szCs w:val="22"/>
              </w:rPr>
            </w:pPr>
          </w:p>
          <w:p w14:paraId="22AA5E2F" w14:textId="0B6703CA" w:rsidR="002D363B" w:rsidRPr="00C67739" w:rsidRDefault="00EE0B7A" w:rsidP="009531C0">
            <w:pPr>
              <w:pStyle w:val="TableRowCentered"/>
              <w:ind w:left="0" w:right="0"/>
              <w:jc w:val="left"/>
              <w:rPr>
                <w:sz w:val="22"/>
                <w:szCs w:val="22"/>
              </w:rPr>
            </w:pPr>
            <w:proofErr w:type="spellStart"/>
            <w:r w:rsidRPr="00C67739">
              <w:rPr>
                <w:sz w:val="22"/>
                <w:szCs w:val="22"/>
              </w:rPr>
              <w:t>Rosenshine’s</w:t>
            </w:r>
            <w:proofErr w:type="spellEnd"/>
            <w:r w:rsidRPr="00C67739">
              <w:rPr>
                <w:sz w:val="22"/>
                <w:szCs w:val="22"/>
              </w:rPr>
              <w:t xml:space="preserve"> Principles of Instruction and retrieval practice (EEF: </w:t>
            </w:r>
            <w:r w:rsidRPr="00C67739">
              <w:rPr>
                <w:rStyle w:val="Emphasis"/>
                <w:sz w:val="22"/>
                <w:szCs w:val="22"/>
              </w:rPr>
              <w:t>Effective Professional Development</w:t>
            </w:r>
            <w:r w:rsidRPr="00C67739">
              <w:rPr>
                <w:sz w:val="22"/>
                <w:szCs w:val="22"/>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F8B4" w14:textId="7759410B" w:rsidR="009531C0" w:rsidRPr="00C67739" w:rsidRDefault="00FC0A2E" w:rsidP="009531C0">
            <w:pPr>
              <w:pStyle w:val="TableRowCentered"/>
              <w:ind w:left="0" w:right="0"/>
              <w:jc w:val="left"/>
              <w:rPr>
                <w:sz w:val="22"/>
                <w:szCs w:val="22"/>
              </w:rPr>
            </w:pPr>
            <w:r w:rsidRPr="00C67739">
              <w:rPr>
                <w:sz w:val="22"/>
                <w:szCs w:val="22"/>
              </w:rPr>
              <w:t xml:space="preserve">1, 4, </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2F0589C8" w:rsidR="00E66558" w:rsidRDefault="009D71E8">
      <w:r>
        <w:t xml:space="preserve">Budgeted cost: £ </w:t>
      </w:r>
      <w:r w:rsidR="0047233E" w:rsidRPr="0047233E">
        <w:t>28257.50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42FA9B8" w:rsidR="00E66558" w:rsidRPr="00C67739" w:rsidRDefault="00127A8B" w:rsidP="00C31636">
            <w:pPr>
              <w:pStyle w:val="TableRow"/>
              <w:ind w:left="0" w:right="0"/>
              <w:rPr>
                <w:rFonts w:cs="Arial"/>
                <w:sz w:val="22"/>
                <w:szCs w:val="22"/>
              </w:rPr>
            </w:pPr>
            <w:r w:rsidRPr="00C67739">
              <w:rPr>
                <w:rFonts w:cs="Arial"/>
                <w:sz w:val="22"/>
                <w:szCs w:val="22"/>
              </w:rPr>
              <w:t>Peer Mentoring: Students in Years 10 and 11 are partnered with incoming Year 7 students and mentor them over the course of th</w:t>
            </w:r>
            <w:r w:rsidR="00522B36" w:rsidRPr="00C67739">
              <w:rPr>
                <w:rFonts w:cs="Arial"/>
                <w:sz w:val="22"/>
                <w:szCs w:val="22"/>
              </w:rPr>
              <w:t xml:space="preserve">e academic year. This supports disadvantaged students with transition and wellbeing as well as </w:t>
            </w:r>
            <w:r w:rsidR="00522B36" w:rsidRPr="00C67739">
              <w:rPr>
                <w:rFonts w:cs="Arial"/>
                <w:sz w:val="22"/>
                <w:szCs w:val="22"/>
              </w:rPr>
              <w:lastRenderedPageBreak/>
              <w:t xml:space="preserve">providing positive role models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D3C99" w14:textId="77777777" w:rsidR="00E66558" w:rsidRPr="00C67739" w:rsidRDefault="005A2B5F" w:rsidP="00C31636">
            <w:pPr>
              <w:pStyle w:val="TableRowCentered"/>
              <w:ind w:left="0" w:right="0"/>
              <w:jc w:val="left"/>
              <w:rPr>
                <w:rStyle w:val="eop"/>
                <w:rFonts w:cs="Arial"/>
                <w:color w:val="0000FF"/>
                <w:sz w:val="22"/>
                <w:szCs w:val="22"/>
                <w:shd w:val="clear" w:color="auto" w:fill="FFFFFF"/>
              </w:rPr>
            </w:pPr>
            <w:hyperlink r:id="rId11" w:tgtFrame="_blank" w:history="1">
              <w:r w:rsidR="00AB45B5" w:rsidRPr="00C67739">
                <w:rPr>
                  <w:rStyle w:val="normaltextrun"/>
                  <w:rFonts w:cs="Arial"/>
                  <w:sz w:val="22"/>
                  <w:szCs w:val="22"/>
                  <w:shd w:val="clear" w:color="auto" w:fill="FFFFFF"/>
                </w:rPr>
                <w:t>Peer tutoring | EEF (educationendowmentfoundation.org.uk)</w:t>
              </w:r>
            </w:hyperlink>
            <w:r w:rsidR="00AB45B5" w:rsidRPr="00C67739">
              <w:rPr>
                <w:rStyle w:val="eop"/>
                <w:rFonts w:cs="Arial"/>
                <w:color w:val="0000FF"/>
                <w:sz w:val="22"/>
                <w:szCs w:val="22"/>
                <w:shd w:val="clear" w:color="auto" w:fill="FFFFFF"/>
              </w:rPr>
              <w:t> </w:t>
            </w:r>
          </w:p>
          <w:p w14:paraId="2A7D552A" w14:textId="46896CAF" w:rsidR="00AB45B5" w:rsidRPr="00C67739" w:rsidRDefault="00AB45B5" w:rsidP="00C31636">
            <w:pPr>
              <w:pStyle w:val="TableRowCentered"/>
              <w:ind w:left="0" w:right="0"/>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BB870A2" w:rsidR="00E66558" w:rsidRPr="00C67739" w:rsidRDefault="00FC0A2E" w:rsidP="00C31636">
            <w:pPr>
              <w:pStyle w:val="TableRowCentered"/>
              <w:ind w:left="0" w:right="0"/>
              <w:jc w:val="left"/>
              <w:rPr>
                <w:rFonts w:cs="Arial"/>
                <w:sz w:val="22"/>
                <w:szCs w:val="22"/>
              </w:rPr>
            </w:pPr>
            <w:r w:rsidRPr="00C67739">
              <w:rPr>
                <w:rFonts w:cs="Arial"/>
                <w:sz w:val="22"/>
                <w:szCs w:val="22"/>
              </w:rPr>
              <w:t xml:space="preserve">2, </w:t>
            </w:r>
            <w:r w:rsidR="00C67739" w:rsidRPr="00C67739">
              <w:rPr>
                <w:rFonts w:cs="Arial"/>
                <w:sz w:val="22"/>
                <w:szCs w:val="22"/>
              </w:rPr>
              <w:t>5, 3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9431" w14:textId="77777777" w:rsidR="00E66558" w:rsidRPr="00C67739" w:rsidRDefault="00104541" w:rsidP="00C31636">
            <w:pPr>
              <w:pStyle w:val="TableRow"/>
              <w:ind w:left="0" w:right="0"/>
              <w:rPr>
                <w:rFonts w:cs="Arial"/>
                <w:b/>
                <w:bCs/>
                <w:iCs/>
                <w:sz w:val="22"/>
                <w:szCs w:val="22"/>
              </w:rPr>
            </w:pPr>
            <w:r w:rsidRPr="00C67739">
              <w:rPr>
                <w:rFonts w:cs="Arial"/>
                <w:b/>
                <w:bCs/>
                <w:iCs/>
                <w:sz w:val="22"/>
                <w:szCs w:val="22"/>
              </w:rPr>
              <w:t>Targeted Literacy Support</w:t>
            </w:r>
          </w:p>
          <w:p w14:paraId="49F3D680" w14:textId="77777777" w:rsidR="000332F2" w:rsidRPr="00C67739" w:rsidRDefault="000332F2" w:rsidP="000332F2">
            <w:pPr>
              <w:rPr>
                <w:rFonts w:cs="Arial"/>
                <w:color w:val="000000"/>
                <w:sz w:val="22"/>
                <w:szCs w:val="22"/>
              </w:rPr>
            </w:pPr>
            <w:r w:rsidRPr="00C67739">
              <w:rPr>
                <w:rFonts w:cs="Arial"/>
                <w:color w:val="000000"/>
                <w:sz w:val="22"/>
                <w:szCs w:val="22"/>
              </w:rPr>
              <w:t>Literacy Reading:</w:t>
            </w:r>
          </w:p>
          <w:p w14:paraId="2A78D9F9" w14:textId="77777777" w:rsidR="000332F2" w:rsidRPr="00C67739" w:rsidRDefault="000332F2" w:rsidP="000332F2">
            <w:pPr>
              <w:rPr>
                <w:rFonts w:cs="Arial"/>
                <w:color w:val="000000"/>
                <w:sz w:val="22"/>
                <w:szCs w:val="22"/>
              </w:rPr>
            </w:pPr>
            <w:r w:rsidRPr="00C67739">
              <w:rPr>
                <w:rFonts w:cs="Arial"/>
                <w:b/>
                <w:bCs/>
                <w:color w:val="000000"/>
                <w:sz w:val="22"/>
                <w:szCs w:val="22"/>
              </w:rPr>
              <w:t xml:space="preserve">Lifeboats Reading. </w:t>
            </w:r>
            <w:r w:rsidRPr="00C67739">
              <w:rPr>
                <w:rFonts w:cs="Arial"/>
                <w:color w:val="000000"/>
                <w:sz w:val="22"/>
                <w:szCs w:val="22"/>
              </w:rPr>
              <w:t>For pupils who struggle to read CVC words.</w:t>
            </w:r>
          </w:p>
          <w:p w14:paraId="794EE764" w14:textId="77777777" w:rsidR="000332F2" w:rsidRPr="00C67739" w:rsidRDefault="000332F2" w:rsidP="000332F2">
            <w:pPr>
              <w:rPr>
                <w:rFonts w:cs="Arial"/>
                <w:color w:val="000000"/>
                <w:sz w:val="22"/>
                <w:szCs w:val="22"/>
              </w:rPr>
            </w:pPr>
            <w:r w:rsidRPr="00C67739">
              <w:rPr>
                <w:rFonts w:cs="Arial"/>
                <w:b/>
                <w:bCs/>
                <w:color w:val="000000"/>
                <w:sz w:val="22"/>
                <w:szCs w:val="22"/>
              </w:rPr>
              <w:t xml:space="preserve">Moon Dogs. </w:t>
            </w:r>
            <w:r w:rsidRPr="00C67739">
              <w:rPr>
                <w:rFonts w:cs="Arial"/>
                <w:color w:val="000000"/>
                <w:sz w:val="22"/>
                <w:szCs w:val="22"/>
              </w:rPr>
              <w:t xml:space="preserve">For pupils who struggle to read a fictional story.  </w:t>
            </w:r>
            <w:proofErr w:type="spellStart"/>
            <w:r w:rsidRPr="00C67739">
              <w:rPr>
                <w:rFonts w:cs="Arial"/>
                <w:color w:val="000000"/>
                <w:sz w:val="22"/>
                <w:szCs w:val="22"/>
              </w:rPr>
              <w:t>Moondogs</w:t>
            </w:r>
            <w:proofErr w:type="spellEnd"/>
            <w:r w:rsidRPr="00C67739">
              <w:rPr>
                <w:rFonts w:cs="Arial"/>
                <w:color w:val="000000"/>
                <w:sz w:val="22"/>
                <w:szCs w:val="22"/>
              </w:rPr>
              <w:t xml:space="preserve"> uses a phonics-based approach to reading but leads the pupil on to reading texts.</w:t>
            </w:r>
          </w:p>
          <w:p w14:paraId="630FE189" w14:textId="77777777" w:rsidR="000332F2" w:rsidRPr="00C67739" w:rsidRDefault="000332F2" w:rsidP="000332F2">
            <w:pPr>
              <w:rPr>
                <w:rFonts w:cs="Arial"/>
                <w:color w:val="000000"/>
                <w:sz w:val="22"/>
                <w:szCs w:val="22"/>
              </w:rPr>
            </w:pPr>
            <w:r w:rsidRPr="00C67739">
              <w:rPr>
                <w:rFonts w:cs="Arial"/>
                <w:b/>
                <w:bCs/>
                <w:color w:val="000000"/>
                <w:sz w:val="22"/>
                <w:szCs w:val="22"/>
              </w:rPr>
              <w:t xml:space="preserve">Reciprocal Reading. </w:t>
            </w:r>
            <w:r w:rsidRPr="00C67739">
              <w:rPr>
                <w:rFonts w:cs="Arial"/>
                <w:color w:val="000000"/>
                <w:sz w:val="22"/>
                <w:szCs w:val="22"/>
              </w:rPr>
              <w:t>For pupils who can read the words, but struggle to comprehension.  </w:t>
            </w:r>
          </w:p>
          <w:p w14:paraId="734C287F" w14:textId="77777777" w:rsidR="000332F2" w:rsidRPr="00C67739" w:rsidRDefault="000332F2" w:rsidP="000332F2">
            <w:pPr>
              <w:rPr>
                <w:rFonts w:cs="Arial"/>
                <w:color w:val="000000"/>
                <w:sz w:val="22"/>
                <w:szCs w:val="22"/>
              </w:rPr>
            </w:pPr>
            <w:r w:rsidRPr="00C67739">
              <w:rPr>
                <w:rFonts w:cs="Arial"/>
                <w:b/>
                <w:bCs/>
                <w:color w:val="000000"/>
                <w:sz w:val="22"/>
                <w:szCs w:val="22"/>
              </w:rPr>
              <w:t xml:space="preserve">Reading for pleasure. </w:t>
            </w:r>
            <w:r w:rsidRPr="00C67739">
              <w:rPr>
                <w:rFonts w:cs="Arial"/>
                <w:color w:val="000000"/>
                <w:sz w:val="22"/>
                <w:szCs w:val="22"/>
              </w:rPr>
              <w:t>For pupils who have the reading skills and some comprehension skills but need to practice their reading skills for speed and accuracy.</w:t>
            </w:r>
          </w:p>
          <w:p w14:paraId="4BBA8746" w14:textId="77777777" w:rsidR="000332F2" w:rsidRPr="00C67739" w:rsidRDefault="000332F2" w:rsidP="000332F2">
            <w:pPr>
              <w:rPr>
                <w:rFonts w:cs="Arial"/>
                <w:color w:val="000000"/>
                <w:sz w:val="22"/>
                <w:szCs w:val="22"/>
              </w:rPr>
            </w:pPr>
          </w:p>
          <w:p w14:paraId="4C86CF27" w14:textId="3B9FA9C4" w:rsidR="000332F2" w:rsidRPr="00C67739" w:rsidRDefault="000332F2" w:rsidP="000332F2">
            <w:pPr>
              <w:rPr>
                <w:rFonts w:cs="Arial"/>
                <w:color w:val="000000"/>
                <w:sz w:val="22"/>
                <w:szCs w:val="22"/>
              </w:rPr>
            </w:pPr>
            <w:r w:rsidRPr="00C67739">
              <w:rPr>
                <w:rFonts w:cs="Arial"/>
                <w:color w:val="000000"/>
                <w:sz w:val="22"/>
                <w:szCs w:val="22"/>
              </w:rPr>
              <w:t xml:space="preserve">Literacy Writing: </w:t>
            </w:r>
            <w:r w:rsidRPr="00C67739">
              <w:rPr>
                <w:rFonts w:cs="Arial"/>
                <w:b/>
                <w:bCs/>
                <w:color w:val="000000"/>
                <w:sz w:val="22"/>
                <w:szCs w:val="22"/>
              </w:rPr>
              <w:t xml:space="preserve">Lexia. </w:t>
            </w:r>
            <w:r w:rsidR="00C619DF" w:rsidRPr="00C67739">
              <w:rPr>
                <w:rFonts w:cs="Arial"/>
                <w:color w:val="000000"/>
                <w:sz w:val="22"/>
                <w:szCs w:val="22"/>
              </w:rPr>
              <w:t xml:space="preserve">For identified </w:t>
            </w:r>
            <w:r w:rsidRPr="00C67739">
              <w:rPr>
                <w:rFonts w:cs="Arial"/>
                <w:color w:val="000000"/>
                <w:sz w:val="22"/>
                <w:szCs w:val="22"/>
              </w:rPr>
              <w:t>pupils who need to develop their spelling and writing.  </w:t>
            </w:r>
          </w:p>
          <w:p w14:paraId="6AC5F08B" w14:textId="77777777" w:rsidR="000332F2" w:rsidRPr="00C67739" w:rsidRDefault="000332F2" w:rsidP="000332F2">
            <w:pPr>
              <w:rPr>
                <w:rFonts w:cs="Arial"/>
                <w:color w:val="000000"/>
                <w:sz w:val="22"/>
                <w:szCs w:val="22"/>
              </w:rPr>
            </w:pPr>
            <w:r w:rsidRPr="00C67739">
              <w:rPr>
                <w:rFonts w:cs="Arial"/>
                <w:b/>
                <w:bCs/>
                <w:color w:val="000000"/>
                <w:sz w:val="22"/>
                <w:szCs w:val="22"/>
              </w:rPr>
              <w:t xml:space="preserve">Literacy </w:t>
            </w:r>
            <w:proofErr w:type="spellStart"/>
            <w:r w:rsidRPr="00C67739">
              <w:rPr>
                <w:rFonts w:cs="Arial"/>
                <w:b/>
                <w:bCs/>
                <w:color w:val="000000"/>
                <w:sz w:val="22"/>
                <w:szCs w:val="22"/>
              </w:rPr>
              <w:t>ToolKit</w:t>
            </w:r>
            <w:proofErr w:type="spellEnd"/>
            <w:r w:rsidRPr="00C67739">
              <w:rPr>
                <w:rFonts w:cs="Arial"/>
                <w:b/>
                <w:bCs/>
                <w:color w:val="000000"/>
                <w:sz w:val="22"/>
                <w:szCs w:val="22"/>
              </w:rPr>
              <w:t xml:space="preserve">. </w:t>
            </w:r>
            <w:r w:rsidRPr="00C67739">
              <w:rPr>
                <w:rFonts w:cs="Arial"/>
                <w:color w:val="000000"/>
                <w:sz w:val="22"/>
                <w:szCs w:val="22"/>
              </w:rPr>
              <w:t>Focus on describing and explaining skills.</w:t>
            </w:r>
          </w:p>
          <w:p w14:paraId="72BA7CB6" w14:textId="77777777" w:rsidR="000332F2" w:rsidRPr="00C67739" w:rsidRDefault="000332F2" w:rsidP="00C31636">
            <w:pPr>
              <w:pStyle w:val="TableRow"/>
              <w:ind w:left="0" w:right="0"/>
              <w:rPr>
                <w:rFonts w:cs="Arial"/>
                <w:i/>
                <w:sz w:val="22"/>
                <w:szCs w:val="22"/>
              </w:rPr>
            </w:pPr>
          </w:p>
          <w:p w14:paraId="2A7D552D" w14:textId="697B9CD2" w:rsidR="00057F56" w:rsidRPr="00C67739" w:rsidRDefault="00057F56" w:rsidP="00C31636">
            <w:pPr>
              <w:pStyle w:val="TableRow"/>
              <w:ind w:left="0" w:right="0"/>
              <w:rPr>
                <w:rFonts w:cs="Arial"/>
                <w:i/>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B712C" w14:textId="77777777" w:rsidR="00C619DF" w:rsidRPr="00C67739" w:rsidRDefault="005A2B5F" w:rsidP="00C31636">
            <w:pPr>
              <w:pStyle w:val="TableRowCentered"/>
              <w:ind w:left="0" w:right="0"/>
              <w:jc w:val="left"/>
              <w:rPr>
                <w:rFonts w:cs="Arial"/>
                <w:sz w:val="22"/>
                <w:szCs w:val="22"/>
              </w:rPr>
            </w:pPr>
            <w:hyperlink r:id="rId12" w:tgtFrame="_blank" w:history="1">
              <w:r w:rsidR="004272DA" w:rsidRPr="00C67739">
                <w:rPr>
                  <w:rStyle w:val="normaltextrun"/>
                  <w:rFonts w:cs="Arial"/>
                  <w:sz w:val="22"/>
                  <w:szCs w:val="22"/>
                  <w:shd w:val="clear" w:color="auto" w:fill="FFFFFF"/>
                </w:rPr>
                <w:t>Reading comprehension strategies | EEF (educationendowmentfoundation.org.uk)</w:t>
              </w:r>
            </w:hyperlink>
          </w:p>
          <w:p w14:paraId="390CF1EE" w14:textId="77777777" w:rsidR="00C619DF" w:rsidRPr="00C67739" w:rsidRDefault="00C619DF" w:rsidP="00C31636">
            <w:pPr>
              <w:pStyle w:val="TableRowCentered"/>
              <w:ind w:left="0" w:right="0"/>
              <w:jc w:val="left"/>
              <w:rPr>
                <w:rStyle w:val="eop"/>
                <w:rFonts w:cs="Arial"/>
                <w:sz w:val="22"/>
                <w:szCs w:val="22"/>
                <w:shd w:val="clear" w:color="auto" w:fill="FFFFFF"/>
              </w:rPr>
            </w:pPr>
          </w:p>
          <w:p w14:paraId="5395349D" w14:textId="77777777" w:rsidR="00C619DF" w:rsidRPr="00C67739" w:rsidRDefault="00C619DF" w:rsidP="00C31636">
            <w:pPr>
              <w:pStyle w:val="TableRowCentered"/>
              <w:ind w:left="0" w:right="0"/>
              <w:jc w:val="left"/>
              <w:rPr>
                <w:rStyle w:val="eop"/>
                <w:rFonts w:cs="Arial"/>
                <w:sz w:val="22"/>
                <w:szCs w:val="22"/>
                <w:shd w:val="clear" w:color="auto" w:fill="FFFFFF"/>
              </w:rPr>
            </w:pPr>
          </w:p>
          <w:p w14:paraId="4BA51120" w14:textId="77777777" w:rsidR="00C619DF" w:rsidRPr="00C67739" w:rsidRDefault="005A2B5F" w:rsidP="00C31636">
            <w:pPr>
              <w:pStyle w:val="TableRowCentered"/>
              <w:ind w:left="0" w:right="0"/>
              <w:jc w:val="left"/>
              <w:rPr>
                <w:rFonts w:cs="Arial"/>
                <w:sz w:val="22"/>
                <w:szCs w:val="22"/>
              </w:rPr>
            </w:pPr>
            <w:hyperlink r:id="rId13" w:history="1">
              <w:r w:rsidR="00C619DF" w:rsidRPr="00C67739">
                <w:rPr>
                  <w:rStyle w:val="Hyperlink"/>
                  <w:rFonts w:cs="Arial"/>
                  <w:sz w:val="22"/>
                  <w:szCs w:val="22"/>
                </w:rPr>
                <w:t>Lexia Reading Core5® | EEF</w:t>
              </w:r>
            </w:hyperlink>
          </w:p>
          <w:p w14:paraId="0260578F" w14:textId="77777777" w:rsidR="00C619DF" w:rsidRPr="00C67739" w:rsidRDefault="00C619DF" w:rsidP="00C31636">
            <w:pPr>
              <w:pStyle w:val="TableRowCentered"/>
              <w:ind w:left="0" w:right="0"/>
              <w:jc w:val="left"/>
              <w:rPr>
                <w:rStyle w:val="eop"/>
                <w:rFonts w:cs="Arial"/>
                <w:sz w:val="22"/>
                <w:szCs w:val="22"/>
                <w:shd w:val="clear" w:color="auto" w:fill="FFFFFF"/>
              </w:rPr>
            </w:pPr>
          </w:p>
          <w:p w14:paraId="6DE6B7AB" w14:textId="77777777" w:rsidR="00C619DF" w:rsidRPr="00C67739" w:rsidRDefault="00C619DF" w:rsidP="00C31636">
            <w:pPr>
              <w:pStyle w:val="TableRowCentered"/>
              <w:ind w:left="0" w:right="0"/>
              <w:jc w:val="left"/>
              <w:rPr>
                <w:rStyle w:val="eop"/>
                <w:rFonts w:cs="Arial"/>
                <w:sz w:val="22"/>
                <w:szCs w:val="22"/>
                <w:shd w:val="clear" w:color="auto" w:fill="FFFFFF"/>
              </w:rPr>
            </w:pPr>
          </w:p>
          <w:p w14:paraId="2A7D552E" w14:textId="450BB9E1" w:rsidR="00E66558" w:rsidRPr="00C67739" w:rsidRDefault="004272DA" w:rsidP="00C31636">
            <w:pPr>
              <w:pStyle w:val="TableRowCentered"/>
              <w:ind w:left="0" w:right="0"/>
              <w:jc w:val="left"/>
              <w:rPr>
                <w:rFonts w:cs="Arial"/>
                <w:sz w:val="22"/>
                <w:szCs w:val="22"/>
              </w:rPr>
            </w:pPr>
            <w:r w:rsidRPr="00C67739">
              <w:rPr>
                <w:rStyle w:val="eop"/>
                <w:rFonts w:cs="Arial"/>
                <w:sz w:val="22"/>
                <w:szCs w:val="22"/>
                <w:shd w:val="clear" w:color="auto" w:fill="FFFFFF"/>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8B82181" w:rsidR="00E66558" w:rsidRPr="00C67739" w:rsidRDefault="00C67739" w:rsidP="00C31636">
            <w:pPr>
              <w:pStyle w:val="TableRowCentered"/>
              <w:ind w:left="0" w:right="0"/>
              <w:jc w:val="left"/>
              <w:rPr>
                <w:rFonts w:cs="Arial"/>
                <w:sz w:val="22"/>
                <w:szCs w:val="22"/>
              </w:rPr>
            </w:pPr>
            <w:r w:rsidRPr="00C67739">
              <w:rPr>
                <w:rFonts w:cs="Arial"/>
                <w:sz w:val="22"/>
                <w:szCs w:val="22"/>
              </w:rPr>
              <w:t>1, 4</w:t>
            </w:r>
          </w:p>
        </w:tc>
      </w:tr>
      <w:tr w:rsidR="00D00606" w14:paraId="238C8B9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BD67" w14:textId="77777777" w:rsidR="00D00606" w:rsidRPr="00C67739" w:rsidRDefault="00D00606" w:rsidP="00C31636">
            <w:pPr>
              <w:pStyle w:val="TableRow"/>
              <w:ind w:left="0" w:right="0"/>
              <w:rPr>
                <w:rStyle w:val="normaltextrun"/>
                <w:rFonts w:cs="Arial"/>
                <w:sz w:val="22"/>
                <w:szCs w:val="22"/>
                <w:shd w:val="clear" w:color="auto" w:fill="FFFFFF"/>
              </w:rPr>
            </w:pPr>
          </w:p>
          <w:p w14:paraId="7217091E" w14:textId="2ABF76FC" w:rsidR="00D00606" w:rsidRPr="00C67739" w:rsidRDefault="00D00606" w:rsidP="00C31636">
            <w:pPr>
              <w:pStyle w:val="TableRow"/>
              <w:ind w:left="0" w:right="0"/>
              <w:rPr>
                <w:rFonts w:cs="Arial"/>
                <w:i/>
                <w:sz w:val="22"/>
                <w:szCs w:val="22"/>
              </w:rPr>
            </w:pPr>
            <w:r w:rsidRPr="00C67739">
              <w:rPr>
                <w:rStyle w:val="normaltextrun"/>
                <w:rFonts w:cs="Arial"/>
                <w:sz w:val="22"/>
                <w:szCs w:val="22"/>
                <w:shd w:val="clear" w:color="auto" w:fill="FFFFFF"/>
              </w:rPr>
              <w:t>ELSA - 1:1 and small group activities with a focus on both self-esteem, emotion management and self-</w:t>
            </w:r>
            <w:r w:rsidRPr="00C67739">
              <w:rPr>
                <w:rStyle w:val="normaltextrun"/>
                <w:rFonts w:cs="Arial"/>
                <w:sz w:val="22"/>
                <w:szCs w:val="22"/>
                <w:shd w:val="clear" w:color="auto" w:fill="FFFFFF"/>
              </w:rPr>
              <w:lastRenderedPageBreak/>
              <w:t>regulation ensuring that students understand themselves as learners and optimise their opportunities to learn in the classroom.</w:t>
            </w:r>
            <w:r w:rsidRPr="00C67739">
              <w:rPr>
                <w:rStyle w:val="normaltextrun"/>
                <w:rFonts w:cs="Arial"/>
                <w:b/>
                <w:bCs/>
                <w:sz w:val="22"/>
                <w:szCs w:val="22"/>
                <w:shd w:val="clear" w:color="auto" w:fill="FFFFFF"/>
              </w:rPr>
              <w: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EA62F" w14:textId="77777777" w:rsidR="00D00606" w:rsidRPr="00C67739" w:rsidRDefault="00D00606" w:rsidP="00C31636">
            <w:pPr>
              <w:pStyle w:val="TableRowCentered"/>
              <w:ind w:left="0" w:right="0"/>
              <w:jc w:val="left"/>
              <w:rPr>
                <w:rFonts w:cs="Arial"/>
                <w:sz w:val="22"/>
                <w:szCs w:val="22"/>
              </w:rPr>
            </w:pPr>
          </w:p>
          <w:p w14:paraId="04555FBD" w14:textId="77777777" w:rsidR="00C20E10" w:rsidRPr="00C67739" w:rsidRDefault="005A2B5F" w:rsidP="00C20E10">
            <w:pPr>
              <w:pStyle w:val="paragraph"/>
              <w:spacing w:before="0" w:beforeAutospacing="0" w:after="0" w:afterAutospacing="0"/>
              <w:ind w:left="45" w:right="45"/>
              <w:textAlignment w:val="baseline"/>
              <w:rPr>
                <w:rFonts w:ascii="Arial" w:hAnsi="Arial" w:cs="Arial"/>
                <w:color w:val="0D0D0D"/>
                <w:sz w:val="22"/>
                <w:szCs w:val="22"/>
              </w:rPr>
            </w:pPr>
            <w:hyperlink r:id="rId14" w:tgtFrame="_blank" w:history="1">
              <w:r w:rsidR="00C20E10" w:rsidRPr="00C67739">
                <w:rPr>
                  <w:rStyle w:val="normaltextrun"/>
                  <w:rFonts w:ascii="Arial" w:hAnsi="Arial" w:cs="Arial"/>
                  <w:color w:val="0000FF"/>
                  <w:sz w:val="22"/>
                  <w:szCs w:val="22"/>
                  <w:u w:val="single"/>
                </w:rPr>
                <w:t>Mentoring | EEF (educationendowmentfoundation.org.uk)</w:t>
              </w:r>
            </w:hyperlink>
            <w:r w:rsidR="00C20E10" w:rsidRPr="00C67739">
              <w:rPr>
                <w:rStyle w:val="eop"/>
                <w:rFonts w:ascii="Arial" w:hAnsi="Arial" w:cs="Arial"/>
                <w:color w:val="0000FF"/>
                <w:sz w:val="22"/>
                <w:szCs w:val="22"/>
              </w:rPr>
              <w:t> </w:t>
            </w:r>
          </w:p>
          <w:p w14:paraId="5A4693D9" w14:textId="77777777" w:rsidR="00C20E10" w:rsidRPr="00C67739" w:rsidRDefault="00C20E10" w:rsidP="00C20E10">
            <w:pPr>
              <w:pStyle w:val="paragraph"/>
              <w:spacing w:before="0" w:beforeAutospacing="0" w:after="0" w:afterAutospacing="0"/>
              <w:ind w:left="45" w:right="45"/>
              <w:textAlignment w:val="baseline"/>
              <w:rPr>
                <w:rFonts w:ascii="Arial" w:hAnsi="Arial" w:cs="Arial"/>
                <w:color w:val="0D0D0D"/>
                <w:sz w:val="22"/>
                <w:szCs w:val="22"/>
              </w:rPr>
            </w:pPr>
            <w:r w:rsidRPr="00C67739">
              <w:rPr>
                <w:rStyle w:val="eop"/>
                <w:rFonts w:ascii="Arial" w:hAnsi="Arial" w:cs="Arial"/>
                <w:color w:val="0D0D0D"/>
                <w:sz w:val="22"/>
                <w:szCs w:val="22"/>
              </w:rPr>
              <w:t> </w:t>
            </w:r>
          </w:p>
          <w:p w14:paraId="60A2E2E4" w14:textId="77777777" w:rsidR="00C20E10" w:rsidRPr="00C67739" w:rsidRDefault="005A2B5F" w:rsidP="00C20E10">
            <w:pPr>
              <w:pStyle w:val="paragraph"/>
              <w:spacing w:before="0" w:beforeAutospacing="0" w:after="0" w:afterAutospacing="0"/>
              <w:ind w:left="45" w:right="45"/>
              <w:textAlignment w:val="baseline"/>
              <w:rPr>
                <w:rFonts w:ascii="Arial" w:hAnsi="Arial" w:cs="Arial"/>
                <w:color w:val="0D0D0D"/>
                <w:sz w:val="22"/>
                <w:szCs w:val="22"/>
              </w:rPr>
            </w:pPr>
            <w:hyperlink r:id="rId15" w:tgtFrame="_blank" w:history="1">
              <w:r w:rsidR="00C20E10" w:rsidRPr="00C67739">
                <w:rPr>
                  <w:rStyle w:val="normaltextrun"/>
                  <w:rFonts w:ascii="Arial" w:hAnsi="Arial" w:cs="Arial"/>
                  <w:color w:val="0000FF"/>
                  <w:sz w:val="22"/>
                  <w:szCs w:val="22"/>
                  <w:u w:val="single"/>
                </w:rPr>
                <w:t>Supporting the attainment of disadvantaged pupils - GOV.UK (www.gov.uk)</w:t>
              </w:r>
            </w:hyperlink>
            <w:r w:rsidR="00C20E10" w:rsidRPr="00C67739">
              <w:rPr>
                <w:rStyle w:val="eop"/>
                <w:rFonts w:ascii="Arial" w:hAnsi="Arial" w:cs="Arial"/>
                <w:color w:val="0D0D0D"/>
                <w:sz w:val="22"/>
                <w:szCs w:val="22"/>
              </w:rPr>
              <w:t> </w:t>
            </w:r>
          </w:p>
          <w:p w14:paraId="78C5C958" w14:textId="77777777" w:rsidR="00C20E10" w:rsidRPr="00C67739" w:rsidRDefault="00C20E10" w:rsidP="00C31636">
            <w:pPr>
              <w:pStyle w:val="TableRowCentered"/>
              <w:ind w:left="0" w:right="0"/>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A2223" w14:textId="77777777" w:rsidR="00D00606" w:rsidRPr="00C67739" w:rsidRDefault="00D00606" w:rsidP="00C31636">
            <w:pPr>
              <w:pStyle w:val="TableRowCentered"/>
              <w:ind w:left="0" w:right="0"/>
              <w:jc w:val="left"/>
              <w:rPr>
                <w:rFonts w:cs="Arial"/>
                <w:sz w:val="22"/>
                <w:szCs w:val="22"/>
              </w:rPr>
            </w:pP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59AF87FF" w:rsidR="00E66558" w:rsidRDefault="009D71E8">
      <w:pPr>
        <w:spacing w:before="240" w:after="120"/>
      </w:pPr>
      <w:r>
        <w:t xml:space="preserve">Budgeted cost: £ </w:t>
      </w:r>
      <w:r w:rsidR="006D5F45">
        <w:rPr>
          <w:i/>
          <w:iCs/>
        </w:rPr>
        <w:t>7</w:t>
      </w:r>
      <w:r w:rsidR="00492B50">
        <w:rPr>
          <w:i/>
          <w:iCs/>
        </w:rPr>
        <w:t>6</w:t>
      </w:r>
      <w:r w:rsidR="006D5F45">
        <w:rPr>
          <w:i/>
          <w:iCs/>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1BE19" w14:textId="576DD45B" w:rsidR="008C4EA3" w:rsidRPr="00C67739" w:rsidRDefault="008C4EA3" w:rsidP="008C4EA3">
            <w:pPr>
              <w:pStyle w:val="paragraph"/>
              <w:spacing w:before="0" w:beforeAutospacing="0" w:after="0" w:afterAutospacing="0"/>
              <w:ind w:left="45" w:right="45"/>
              <w:textAlignment w:val="baseline"/>
              <w:rPr>
                <w:rFonts w:ascii="Arial" w:hAnsi="Arial" w:cs="Arial"/>
                <w:color w:val="0D0D0D"/>
                <w:sz w:val="22"/>
                <w:szCs w:val="22"/>
              </w:rPr>
            </w:pPr>
            <w:r w:rsidRPr="00C67739">
              <w:rPr>
                <w:rStyle w:val="normaltextrun"/>
                <w:rFonts w:ascii="Arial" w:hAnsi="Arial" w:cs="Arial"/>
                <w:color w:val="0D0D0D"/>
                <w:sz w:val="22"/>
                <w:szCs w:val="22"/>
              </w:rPr>
              <w:t xml:space="preserve">The pastoral team monitoring student's well-being and mental health. Pastoral support will include </w:t>
            </w:r>
            <w:r w:rsidR="0018104D" w:rsidRPr="00C67739">
              <w:rPr>
                <w:rStyle w:val="normaltextrun"/>
                <w:rFonts w:ascii="Arial" w:hAnsi="Arial" w:cs="Arial"/>
                <w:color w:val="0D0D0D"/>
                <w:sz w:val="22"/>
                <w:szCs w:val="22"/>
              </w:rPr>
              <w:t>appr</w:t>
            </w:r>
            <w:r w:rsidR="00F20410" w:rsidRPr="00C67739">
              <w:rPr>
                <w:rStyle w:val="normaltextrun"/>
                <w:rFonts w:ascii="Arial" w:hAnsi="Arial" w:cs="Arial"/>
                <w:color w:val="0D0D0D"/>
                <w:sz w:val="22"/>
                <w:szCs w:val="22"/>
              </w:rPr>
              <w:t xml:space="preserve">opriate in-school support for example, wellbeing check-ins and external support where necessary. </w:t>
            </w:r>
          </w:p>
          <w:p w14:paraId="5BB6B433" w14:textId="77777777" w:rsidR="008C4EA3" w:rsidRPr="00C67739" w:rsidRDefault="008C4EA3" w:rsidP="008C4EA3">
            <w:pPr>
              <w:pStyle w:val="paragraph"/>
              <w:spacing w:before="0" w:beforeAutospacing="0" w:after="0" w:afterAutospacing="0"/>
              <w:ind w:left="45" w:right="45"/>
              <w:textAlignment w:val="baseline"/>
              <w:rPr>
                <w:rFonts w:ascii="Arial" w:hAnsi="Arial" w:cs="Arial"/>
                <w:color w:val="0D0D0D"/>
                <w:sz w:val="22"/>
                <w:szCs w:val="22"/>
              </w:rPr>
            </w:pPr>
            <w:r w:rsidRPr="00C67739">
              <w:rPr>
                <w:rStyle w:val="eop"/>
                <w:rFonts w:ascii="Arial" w:hAnsi="Arial" w:cs="Arial"/>
                <w:color w:val="0D0D0D"/>
                <w:sz w:val="22"/>
                <w:szCs w:val="22"/>
              </w:rPr>
              <w:t> </w:t>
            </w:r>
          </w:p>
          <w:p w14:paraId="23937431" w14:textId="77777777" w:rsidR="0018104D" w:rsidRPr="0018104D" w:rsidRDefault="0018104D" w:rsidP="0018104D">
            <w:pPr>
              <w:numPr>
                <w:ilvl w:val="0"/>
                <w:numId w:val="28"/>
              </w:numPr>
              <w:suppressAutoHyphens w:val="0"/>
              <w:autoSpaceDN/>
              <w:spacing w:before="100" w:beforeAutospacing="1" w:after="100" w:afterAutospacing="1" w:line="240" w:lineRule="auto"/>
              <w:rPr>
                <w:rFonts w:cs="Arial"/>
                <w:color w:val="auto"/>
                <w:sz w:val="22"/>
                <w:szCs w:val="22"/>
              </w:rPr>
            </w:pPr>
            <w:r w:rsidRPr="0018104D">
              <w:rPr>
                <w:rFonts w:cs="Arial"/>
                <w:color w:val="auto"/>
                <w:sz w:val="22"/>
                <w:szCs w:val="22"/>
              </w:rPr>
              <w:t>Ongoing feedback from student voice to identify students who require support.</w:t>
            </w:r>
          </w:p>
          <w:p w14:paraId="6ADD34D2" w14:textId="77777777" w:rsidR="0018104D" w:rsidRPr="0018104D" w:rsidRDefault="0018104D" w:rsidP="0018104D">
            <w:pPr>
              <w:numPr>
                <w:ilvl w:val="0"/>
                <w:numId w:val="28"/>
              </w:numPr>
              <w:suppressAutoHyphens w:val="0"/>
              <w:autoSpaceDN/>
              <w:spacing w:before="100" w:beforeAutospacing="1" w:after="100" w:afterAutospacing="1" w:line="240" w:lineRule="auto"/>
              <w:rPr>
                <w:rFonts w:cs="Arial"/>
                <w:color w:val="auto"/>
                <w:sz w:val="22"/>
                <w:szCs w:val="22"/>
              </w:rPr>
            </w:pPr>
            <w:r w:rsidRPr="0018104D">
              <w:rPr>
                <w:rFonts w:cs="Arial"/>
                <w:color w:val="auto"/>
                <w:sz w:val="22"/>
                <w:szCs w:val="22"/>
              </w:rPr>
              <w:t>Strengthened communication between the school, students, and families.</w:t>
            </w:r>
          </w:p>
          <w:p w14:paraId="434055E6" w14:textId="77777777" w:rsidR="0018104D" w:rsidRPr="0018104D" w:rsidRDefault="0018104D" w:rsidP="0018104D">
            <w:pPr>
              <w:numPr>
                <w:ilvl w:val="0"/>
                <w:numId w:val="28"/>
              </w:numPr>
              <w:suppressAutoHyphens w:val="0"/>
              <w:autoSpaceDN/>
              <w:spacing w:before="100" w:beforeAutospacing="1" w:after="100" w:afterAutospacing="1" w:line="240" w:lineRule="auto"/>
              <w:rPr>
                <w:rFonts w:cs="Arial"/>
                <w:color w:val="auto"/>
                <w:sz w:val="22"/>
                <w:szCs w:val="22"/>
              </w:rPr>
            </w:pPr>
            <w:r w:rsidRPr="0018104D">
              <w:rPr>
                <w:rFonts w:cs="Arial"/>
                <w:color w:val="auto"/>
                <w:sz w:val="22"/>
                <w:szCs w:val="22"/>
              </w:rPr>
              <w:t>Introduction of support packages, with embedded evaluation measures to assess their effectiveness, using external resources when needed.</w:t>
            </w:r>
          </w:p>
          <w:p w14:paraId="162C2AE7" w14:textId="77777777" w:rsidR="0018104D" w:rsidRPr="0018104D" w:rsidRDefault="0018104D" w:rsidP="0018104D">
            <w:pPr>
              <w:numPr>
                <w:ilvl w:val="0"/>
                <w:numId w:val="28"/>
              </w:numPr>
              <w:suppressAutoHyphens w:val="0"/>
              <w:autoSpaceDN/>
              <w:spacing w:before="100" w:beforeAutospacing="1" w:after="100" w:afterAutospacing="1" w:line="240" w:lineRule="auto"/>
              <w:rPr>
                <w:rFonts w:cs="Arial"/>
                <w:color w:val="auto"/>
                <w:sz w:val="22"/>
                <w:szCs w:val="22"/>
              </w:rPr>
            </w:pPr>
            <w:r w:rsidRPr="0018104D">
              <w:rPr>
                <w:rFonts w:cs="Arial"/>
                <w:color w:val="auto"/>
                <w:sz w:val="22"/>
                <w:szCs w:val="22"/>
              </w:rPr>
              <w:t>Tackling barriers to school engagement caused by hardship or other challenges.</w:t>
            </w:r>
          </w:p>
          <w:p w14:paraId="3776AB4C" w14:textId="77777777" w:rsidR="0018104D" w:rsidRPr="0018104D" w:rsidRDefault="0018104D" w:rsidP="0018104D">
            <w:pPr>
              <w:numPr>
                <w:ilvl w:val="0"/>
                <w:numId w:val="28"/>
              </w:numPr>
              <w:suppressAutoHyphens w:val="0"/>
              <w:autoSpaceDN/>
              <w:spacing w:before="100" w:beforeAutospacing="1" w:after="100" w:afterAutospacing="1" w:line="240" w:lineRule="auto"/>
              <w:rPr>
                <w:rFonts w:cs="Arial"/>
                <w:color w:val="auto"/>
                <w:sz w:val="22"/>
                <w:szCs w:val="22"/>
              </w:rPr>
            </w:pPr>
            <w:r w:rsidRPr="0018104D">
              <w:rPr>
                <w:rFonts w:cs="Arial"/>
                <w:color w:val="auto"/>
                <w:sz w:val="22"/>
                <w:szCs w:val="22"/>
              </w:rPr>
              <w:t>Improved attendance through per</w:t>
            </w:r>
            <w:r w:rsidRPr="0018104D">
              <w:rPr>
                <w:rFonts w:cs="Arial"/>
                <w:color w:val="auto"/>
                <w:sz w:val="22"/>
                <w:szCs w:val="22"/>
              </w:rPr>
              <w:lastRenderedPageBreak/>
              <w:t>sonalised pastoral support plans for students with persistent absenteeism.</w:t>
            </w:r>
          </w:p>
          <w:p w14:paraId="2A7D5538" w14:textId="77CC6A2A" w:rsidR="00E66558" w:rsidRPr="00C67739" w:rsidRDefault="00E66558" w:rsidP="00C31636">
            <w:pPr>
              <w:pStyle w:val="TableRow"/>
              <w:ind w:left="0" w:right="0"/>
              <w:rPr>
                <w:rFonts w:cs="Arial"/>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97861" w14:textId="77777777" w:rsidR="00E66558" w:rsidRPr="00C67739" w:rsidRDefault="005A2B5F" w:rsidP="00C31636">
            <w:pPr>
              <w:pStyle w:val="TableRowCentered"/>
              <w:ind w:left="0" w:right="0"/>
              <w:jc w:val="left"/>
              <w:rPr>
                <w:sz w:val="22"/>
                <w:szCs w:val="22"/>
              </w:rPr>
            </w:pPr>
            <w:hyperlink r:id="rId16" w:history="1">
              <w:r w:rsidR="005F74B4" w:rsidRPr="00C67739">
                <w:rPr>
                  <w:rStyle w:val="Hyperlink"/>
                  <w:sz w:val="22"/>
                  <w:szCs w:val="22"/>
                </w:rPr>
                <w:t>Exploring the relationship between attendance and attainment - The University of Brighton</w:t>
              </w:r>
            </w:hyperlink>
          </w:p>
          <w:p w14:paraId="226D6045" w14:textId="77777777" w:rsidR="005F74B4" w:rsidRPr="00C67739" w:rsidRDefault="005F74B4" w:rsidP="00C31636">
            <w:pPr>
              <w:pStyle w:val="TableRowCentered"/>
              <w:ind w:left="0" w:right="0"/>
              <w:jc w:val="left"/>
              <w:rPr>
                <w:sz w:val="22"/>
                <w:szCs w:val="22"/>
              </w:rPr>
            </w:pPr>
          </w:p>
          <w:p w14:paraId="2A7D5539" w14:textId="77334AFA" w:rsidR="005F74B4" w:rsidRPr="00C67739" w:rsidRDefault="005A2B5F" w:rsidP="00C31636">
            <w:pPr>
              <w:pStyle w:val="TableRowCentered"/>
              <w:ind w:left="0" w:right="0"/>
              <w:jc w:val="left"/>
              <w:rPr>
                <w:sz w:val="22"/>
                <w:szCs w:val="22"/>
              </w:rPr>
            </w:pPr>
            <w:hyperlink r:id="rId17" w:history="1">
              <w:r w:rsidR="005B37D1" w:rsidRPr="00C67739">
                <w:rPr>
                  <w:rStyle w:val="Hyperlink"/>
                  <w:sz w:val="22"/>
                  <w:szCs w:val="22"/>
                </w:rPr>
                <w:t>Summary of evidence | EEF</w:t>
              </w:r>
            </w:hyperlink>
            <w:r w:rsidR="005B37D1" w:rsidRPr="00C67739">
              <w:rPr>
                <w:sz w:val="22"/>
                <w:szCs w:val="22"/>
              </w:rPr>
              <w:t xml:space="preserve"> :Addressing attendance barriers boosts attainment (EEF: Parental Engagement and Social and Emotional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FB50457" w:rsidR="00E66558" w:rsidRPr="00C67739" w:rsidRDefault="005B37D1" w:rsidP="00C31636">
            <w:pPr>
              <w:pStyle w:val="TableRowCentered"/>
              <w:ind w:left="0" w:right="0"/>
              <w:jc w:val="left"/>
              <w:rPr>
                <w:sz w:val="22"/>
                <w:szCs w:val="22"/>
              </w:rPr>
            </w:pPr>
            <w:r w:rsidRPr="00C67739">
              <w:rPr>
                <w:sz w:val="22"/>
                <w:szCs w:val="22"/>
              </w:rPr>
              <w:t>2, 3, 5, 6</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77B52450" w:rsidR="00E66558" w:rsidRPr="00C67739" w:rsidRDefault="00F67356" w:rsidP="00C31636">
            <w:pPr>
              <w:pStyle w:val="TableRow"/>
              <w:ind w:left="0" w:right="0"/>
              <w:rPr>
                <w:iCs/>
                <w:sz w:val="22"/>
                <w:szCs w:val="22"/>
              </w:rPr>
            </w:pPr>
            <w:r w:rsidRPr="00C67739">
              <w:rPr>
                <w:iCs/>
                <w:sz w:val="22"/>
                <w:szCs w:val="22"/>
              </w:rPr>
              <w:t>Support for students to access extra curricula opportunities</w:t>
            </w:r>
            <w:r w:rsidR="00FA7324" w:rsidRPr="00C67739">
              <w:rPr>
                <w:iCs/>
                <w:sz w:val="22"/>
                <w:szCs w:val="22"/>
              </w:rPr>
              <w:t>, funding for trips, resources etc</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2D6A2A3D" w:rsidR="00E66558" w:rsidRPr="00C67739" w:rsidRDefault="005A2B5F" w:rsidP="00C31636">
            <w:pPr>
              <w:pStyle w:val="TableRowCentered"/>
              <w:ind w:left="0" w:right="0"/>
              <w:jc w:val="left"/>
              <w:rPr>
                <w:sz w:val="22"/>
                <w:szCs w:val="22"/>
              </w:rPr>
            </w:pPr>
            <w:hyperlink r:id="rId18" w:history="1">
              <w:r w:rsidR="00D17802" w:rsidRPr="00C67739">
                <w:rPr>
                  <w:rStyle w:val="Hyperlink"/>
                  <w:sz w:val="22"/>
                  <w:szCs w:val="22"/>
                </w:rPr>
                <w:t>Access to extra-curricular provision and the association with outcomes - Education Policy Institute</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AEA56A3" w:rsidR="00E66558" w:rsidRPr="00C67739" w:rsidRDefault="00C67739" w:rsidP="00C31636">
            <w:pPr>
              <w:pStyle w:val="TableRowCentered"/>
              <w:ind w:left="0" w:right="0"/>
              <w:jc w:val="left"/>
              <w:rPr>
                <w:sz w:val="22"/>
                <w:szCs w:val="22"/>
              </w:rPr>
            </w:pPr>
            <w:r w:rsidRPr="00C67739">
              <w:rPr>
                <w:sz w:val="22"/>
                <w:szCs w:val="22"/>
              </w:rPr>
              <w:t>6</w:t>
            </w:r>
          </w:p>
        </w:tc>
      </w:tr>
    </w:tbl>
    <w:p w14:paraId="2A7D5540" w14:textId="77777777" w:rsidR="00E66558" w:rsidRDefault="00E66558">
      <w:pPr>
        <w:spacing w:before="240" w:after="0"/>
        <w:rPr>
          <w:b/>
          <w:bCs/>
          <w:color w:val="104F75"/>
          <w:sz w:val="28"/>
          <w:szCs w:val="28"/>
        </w:rPr>
      </w:pPr>
    </w:p>
    <w:p w14:paraId="2A7D5541" w14:textId="2515049F" w:rsidR="00E66558" w:rsidRDefault="009D71E8" w:rsidP="00120AB1">
      <w:r>
        <w:rPr>
          <w:b/>
          <w:bCs/>
          <w:color w:val="104F75"/>
          <w:sz w:val="28"/>
          <w:szCs w:val="28"/>
        </w:rPr>
        <w:t xml:space="preserve">Total budgeted cost: £ </w:t>
      </w:r>
      <w:r w:rsidR="00C67739">
        <w:rPr>
          <w:sz w:val="22"/>
          <w:szCs w:val="22"/>
          <w:lang w:eastAsia="en-US"/>
        </w:rPr>
        <w:t>132,515.00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Style w:val="TableGrid"/>
        <w:tblW w:w="0" w:type="auto"/>
        <w:tblLook w:val="04A0" w:firstRow="1" w:lastRow="0" w:firstColumn="1" w:lastColumn="0" w:noHBand="0" w:noVBand="1"/>
      </w:tblPr>
      <w:tblGrid>
        <w:gridCol w:w="1413"/>
        <w:gridCol w:w="8073"/>
      </w:tblGrid>
      <w:tr w:rsidR="00455CA9" w14:paraId="5549288B" w14:textId="77777777" w:rsidTr="00DA730A">
        <w:tc>
          <w:tcPr>
            <w:tcW w:w="1413" w:type="dxa"/>
          </w:tcPr>
          <w:p w14:paraId="20FC4F28" w14:textId="005F4681" w:rsidR="00455CA9" w:rsidRDefault="00455CA9" w:rsidP="0080454E">
            <w:r>
              <w:t>Strategy</w:t>
            </w:r>
          </w:p>
        </w:tc>
        <w:tc>
          <w:tcPr>
            <w:tcW w:w="8073" w:type="dxa"/>
          </w:tcPr>
          <w:p w14:paraId="0A7568FB" w14:textId="7731F90B" w:rsidR="00455CA9" w:rsidRDefault="00455CA9" w:rsidP="0080454E">
            <w:r>
              <w:t>Outcome</w:t>
            </w:r>
          </w:p>
        </w:tc>
      </w:tr>
      <w:tr w:rsidR="00455CA9" w14:paraId="165C29F7" w14:textId="77777777" w:rsidTr="00DA730A">
        <w:tc>
          <w:tcPr>
            <w:tcW w:w="1413" w:type="dxa"/>
          </w:tcPr>
          <w:p w14:paraId="72A541A6" w14:textId="669456AB" w:rsidR="00455CA9" w:rsidRDefault="00A05A38" w:rsidP="0080454E">
            <w:r>
              <w:t>Lessen the attainment gap between PPG and non-PPG students.</w:t>
            </w:r>
          </w:p>
        </w:tc>
        <w:tc>
          <w:tcPr>
            <w:tcW w:w="8073" w:type="dxa"/>
          </w:tcPr>
          <w:tbl>
            <w:tblPr>
              <w:tblW w:w="0" w:type="auto"/>
              <w:tblLook w:val="04A0" w:firstRow="1" w:lastRow="0" w:firstColumn="1" w:lastColumn="0" w:noHBand="0" w:noVBand="1"/>
            </w:tblPr>
            <w:tblGrid>
              <w:gridCol w:w="2726"/>
              <w:gridCol w:w="1312"/>
              <w:gridCol w:w="1491"/>
              <w:gridCol w:w="1134"/>
              <w:gridCol w:w="1178"/>
            </w:tblGrid>
            <w:tr w:rsidR="00010F0A" w14:paraId="098C9261" w14:textId="77777777" w:rsidTr="00010F0A">
              <w:trPr>
                <w:trHeight w:val="345"/>
              </w:trPr>
              <w:tc>
                <w:tcPr>
                  <w:tcW w:w="274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603EC607" w14:textId="77777777" w:rsidR="00010F0A" w:rsidRDefault="00010F0A" w:rsidP="00010F0A">
                  <w:pPr>
                    <w:suppressAutoHyphens w:val="0"/>
                    <w:spacing w:after="0" w:line="240" w:lineRule="auto"/>
                    <w:rPr>
                      <w:color w:val="auto"/>
                      <w:sz w:val="20"/>
                      <w:szCs w:val="20"/>
                    </w:rPr>
                  </w:pPr>
                </w:p>
              </w:tc>
              <w:tc>
                <w:tcPr>
                  <w:tcW w:w="132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633FD248" w14:textId="77777777" w:rsidR="00010F0A" w:rsidRDefault="00010F0A" w:rsidP="00010F0A">
                  <w:pPr>
                    <w:rPr>
                      <w:rFonts w:ascii="Aptos" w:hAnsi="Aptos" w:cs="Calibri"/>
                      <w:color w:val="000000"/>
                    </w:rPr>
                  </w:pPr>
                  <w:r>
                    <w:rPr>
                      <w:rFonts w:ascii="Aptos" w:hAnsi="Aptos"/>
                      <w:color w:val="000000"/>
                    </w:rPr>
                    <w:t>Y7</w:t>
                  </w:r>
                </w:p>
              </w:tc>
              <w:tc>
                <w:tcPr>
                  <w:tcW w:w="15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227308E6" w14:textId="77777777" w:rsidR="00010F0A" w:rsidRDefault="00010F0A" w:rsidP="00010F0A">
                  <w:pPr>
                    <w:rPr>
                      <w:rFonts w:ascii="Aptos" w:hAnsi="Aptos"/>
                      <w:color w:val="000000"/>
                    </w:rPr>
                  </w:pPr>
                  <w:r>
                    <w:rPr>
                      <w:rFonts w:ascii="Aptos" w:hAnsi="Aptos"/>
                      <w:color w:val="000000"/>
                    </w:rPr>
                    <w:t>Y8</w:t>
                  </w:r>
                </w:p>
              </w:tc>
              <w:tc>
                <w:tcPr>
                  <w:tcW w:w="114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322912E2" w14:textId="77777777" w:rsidR="00010F0A" w:rsidRDefault="00010F0A" w:rsidP="00010F0A">
                  <w:pPr>
                    <w:rPr>
                      <w:rFonts w:ascii="Aptos" w:hAnsi="Aptos"/>
                      <w:color w:val="000000"/>
                    </w:rPr>
                  </w:pPr>
                  <w:r>
                    <w:rPr>
                      <w:rFonts w:ascii="Aptos" w:hAnsi="Aptos"/>
                      <w:color w:val="000000"/>
                    </w:rPr>
                    <w:t>Y9</w:t>
                  </w:r>
                </w:p>
              </w:tc>
              <w:tc>
                <w:tcPr>
                  <w:tcW w:w="118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6CC62BD6" w14:textId="77777777" w:rsidR="00010F0A" w:rsidRDefault="00010F0A" w:rsidP="00010F0A">
                  <w:pPr>
                    <w:rPr>
                      <w:rFonts w:ascii="Aptos" w:hAnsi="Aptos"/>
                      <w:color w:val="000000"/>
                    </w:rPr>
                  </w:pPr>
                  <w:r>
                    <w:rPr>
                      <w:rFonts w:ascii="Aptos" w:hAnsi="Aptos"/>
                      <w:color w:val="000000"/>
                    </w:rPr>
                    <w:t>Y10</w:t>
                  </w:r>
                </w:p>
              </w:tc>
            </w:tr>
            <w:tr w:rsidR="00010F0A" w14:paraId="55FB942C" w14:textId="77777777" w:rsidTr="00010F0A">
              <w:trPr>
                <w:trHeight w:val="330"/>
              </w:trPr>
              <w:tc>
                <w:tcPr>
                  <w:tcW w:w="274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70D83A6C" w14:textId="77777777" w:rsidR="00010F0A" w:rsidRDefault="00010F0A" w:rsidP="00010F0A">
                  <w:pPr>
                    <w:rPr>
                      <w:rFonts w:ascii="Aptos" w:hAnsi="Aptos"/>
                      <w:color w:val="000000"/>
                    </w:rPr>
                  </w:pPr>
                  <w:r>
                    <w:rPr>
                      <w:rFonts w:ascii="Aptos" w:hAnsi="Aptos"/>
                      <w:color w:val="000000"/>
                    </w:rPr>
                    <w:t>ENG - PP</w:t>
                  </w:r>
                </w:p>
              </w:tc>
              <w:tc>
                <w:tcPr>
                  <w:tcW w:w="132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3246415D" w14:textId="77777777" w:rsidR="00010F0A" w:rsidRDefault="00010F0A" w:rsidP="00010F0A">
                  <w:pPr>
                    <w:rPr>
                      <w:rFonts w:ascii="Aptos" w:hAnsi="Aptos"/>
                      <w:color w:val="000000"/>
                    </w:rPr>
                  </w:pPr>
                  <w:r>
                    <w:rPr>
                      <w:rFonts w:ascii="Aptos" w:hAnsi="Aptos"/>
                      <w:color w:val="000000"/>
                    </w:rPr>
                    <w:t>+0.45</w:t>
                  </w:r>
                </w:p>
              </w:tc>
              <w:tc>
                <w:tcPr>
                  <w:tcW w:w="15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4C4657A3" w14:textId="77777777" w:rsidR="00010F0A" w:rsidRDefault="00010F0A" w:rsidP="00010F0A">
                  <w:pPr>
                    <w:rPr>
                      <w:rFonts w:ascii="Aptos" w:hAnsi="Aptos"/>
                      <w:color w:val="000000"/>
                    </w:rPr>
                  </w:pPr>
                  <w:r>
                    <w:rPr>
                      <w:rFonts w:ascii="Aptos" w:hAnsi="Aptos"/>
                      <w:color w:val="000000"/>
                    </w:rPr>
                    <w:t>+0.56</w:t>
                  </w:r>
                </w:p>
              </w:tc>
              <w:tc>
                <w:tcPr>
                  <w:tcW w:w="114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419CF3AA" w14:textId="77777777" w:rsidR="00010F0A" w:rsidRDefault="00010F0A" w:rsidP="00010F0A">
                  <w:pPr>
                    <w:rPr>
                      <w:rFonts w:ascii="Aptos" w:hAnsi="Aptos"/>
                      <w:color w:val="000000"/>
                    </w:rPr>
                  </w:pPr>
                  <w:r>
                    <w:rPr>
                      <w:rFonts w:ascii="Aptos" w:hAnsi="Aptos"/>
                      <w:color w:val="000000"/>
                    </w:rPr>
                    <w:t>+1.00</w:t>
                  </w:r>
                </w:p>
              </w:tc>
              <w:tc>
                <w:tcPr>
                  <w:tcW w:w="118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3D3C865E" w14:textId="77777777" w:rsidR="00010F0A" w:rsidRDefault="00010F0A" w:rsidP="00010F0A">
                  <w:pPr>
                    <w:rPr>
                      <w:rFonts w:ascii="Aptos" w:hAnsi="Aptos"/>
                      <w:color w:val="000000"/>
                    </w:rPr>
                  </w:pPr>
                  <w:r>
                    <w:rPr>
                      <w:rFonts w:ascii="Aptos" w:hAnsi="Aptos"/>
                      <w:color w:val="000000"/>
                    </w:rPr>
                    <w:t>-1.70</w:t>
                  </w:r>
                </w:p>
              </w:tc>
            </w:tr>
            <w:tr w:rsidR="00010F0A" w14:paraId="24DEFB7B" w14:textId="77777777" w:rsidTr="00010F0A">
              <w:trPr>
                <w:trHeight w:val="330"/>
              </w:trPr>
              <w:tc>
                <w:tcPr>
                  <w:tcW w:w="274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2F703586" w14:textId="77777777" w:rsidR="00010F0A" w:rsidRDefault="00010F0A" w:rsidP="00010F0A">
                  <w:pPr>
                    <w:rPr>
                      <w:rFonts w:ascii="Aptos" w:hAnsi="Aptos"/>
                      <w:color w:val="000000"/>
                    </w:rPr>
                  </w:pPr>
                  <w:r>
                    <w:rPr>
                      <w:rFonts w:ascii="Aptos" w:hAnsi="Aptos"/>
                      <w:color w:val="000000"/>
                    </w:rPr>
                    <w:t>All students</w:t>
                  </w:r>
                </w:p>
              </w:tc>
              <w:tc>
                <w:tcPr>
                  <w:tcW w:w="132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7EC231D7" w14:textId="77777777" w:rsidR="00010F0A" w:rsidRDefault="00010F0A" w:rsidP="00010F0A">
                  <w:pPr>
                    <w:rPr>
                      <w:rFonts w:ascii="Aptos" w:hAnsi="Aptos"/>
                      <w:color w:val="000000"/>
                    </w:rPr>
                  </w:pPr>
                  <w:r>
                    <w:rPr>
                      <w:rFonts w:ascii="Aptos" w:hAnsi="Aptos"/>
                      <w:color w:val="000000"/>
                    </w:rPr>
                    <w:t>+0.50</w:t>
                  </w:r>
                </w:p>
              </w:tc>
              <w:tc>
                <w:tcPr>
                  <w:tcW w:w="15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7AFEEEFA" w14:textId="77777777" w:rsidR="00010F0A" w:rsidRDefault="00010F0A" w:rsidP="00010F0A">
                  <w:pPr>
                    <w:rPr>
                      <w:rFonts w:ascii="Aptos" w:hAnsi="Aptos"/>
                      <w:color w:val="000000"/>
                    </w:rPr>
                  </w:pPr>
                  <w:r>
                    <w:rPr>
                      <w:rFonts w:ascii="Aptos" w:hAnsi="Aptos"/>
                      <w:color w:val="000000"/>
                    </w:rPr>
                    <w:t>+0.48</w:t>
                  </w:r>
                </w:p>
              </w:tc>
              <w:tc>
                <w:tcPr>
                  <w:tcW w:w="114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2122DFFD" w14:textId="77777777" w:rsidR="00010F0A" w:rsidRDefault="00010F0A" w:rsidP="00010F0A">
                  <w:pPr>
                    <w:rPr>
                      <w:rFonts w:ascii="Aptos" w:hAnsi="Aptos"/>
                      <w:color w:val="000000"/>
                    </w:rPr>
                  </w:pPr>
                  <w:r>
                    <w:rPr>
                      <w:rFonts w:ascii="Aptos" w:hAnsi="Aptos"/>
                      <w:color w:val="000000"/>
                    </w:rPr>
                    <w:t>+0.41</w:t>
                  </w:r>
                </w:p>
              </w:tc>
              <w:tc>
                <w:tcPr>
                  <w:tcW w:w="118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51F7A76E" w14:textId="77777777" w:rsidR="00010F0A" w:rsidRDefault="00010F0A" w:rsidP="00010F0A">
                  <w:pPr>
                    <w:rPr>
                      <w:rFonts w:ascii="Aptos" w:hAnsi="Aptos"/>
                      <w:color w:val="000000"/>
                    </w:rPr>
                  </w:pPr>
                  <w:r>
                    <w:rPr>
                      <w:rFonts w:ascii="Aptos" w:hAnsi="Aptos"/>
                      <w:color w:val="000000"/>
                    </w:rPr>
                    <w:t>-1.72</w:t>
                  </w:r>
                </w:p>
              </w:tc>
            </w:tr>
            <w:tr w:rsidR="00010F0A" w14:paraId="0846CB31" w14:textId="77777777" w:rsidTr="00010F0A">
              <w:trPr>
                <w:trHeight w:val="330"/>
              </w:trPr>
              <w:tc>
                <w:tcPr>
                  <w:tcW w:w="274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19627354" w14:textId="77777777" w:rsidR="00010F0A" w:rsidRDefault="00010F0A" w:rsidP="00010F0A">
                  <w:pPr>
                    <w:rPr>
                      <w:rFonts w:ascii="Aptos" w:hAnsi="Aptos"/>
                      <w:color w:val="000000"/>
                    </w:rPr>
                  </w:pPr>
                  <w:r>
                    <w:rPr>
                      <w:rFonts w:ascii="Aptos" w:hAnsi="Aptos"/>
                      <w:color w:val="000000"/>
                    </w:rPr>
                    <w:t>MATHS -PP</w:t>
                  </w:r>
                </w:p>
              </w:tc>
              <w:tc>
                <w:tcPr>
                  <w:tcW w:w="132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70EF2897" w14:textId="77777777" w:rsidR="00010F0A" w:rsidRDefault="00010F0A" w:rsidP="00010F0A">
                  <w:pPr>
                    <w:rPr>
                      <w:rFonts w:ascii="Aptos" w:hAnsi="Aptos"/>
                      <w:color w:val="000000"/>
                    </w:rPr>
                  </w:pPr>
                  <w:r>
                    <w:rPr>
                      <w:rFonts w:ascii="Aptos" w:hAnsi="Aptos"/>
                      <w:color w:val="000000"/>
                    </w:rPr>
                    <w:t>+0.32</w:t>
                  </w:r>
                </w:p>
              </w:tc>
              <w:tc>
                <w:tcPr>
                  <w:tcW w:w="15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21F52936" w14:textId="77777777" w:rsidR="00010F0A" w:rsidRDefault="00010F0A" w:rsidP="00010F0A">
                  <w:pPr>
                    <w:rPr>
                      <w:rFonts w:ascii="Aptos" w:hAnsi="Aptos"/>
                      <w:color w:val="000000"/>
                    </w:rPr>
                  </w:pPr>
                  <w:r>
                    <w:rPr>
                      <w:rFonts w:ascii="Aptos" w:hAnsi="Aptos"/>
                      <w:color w:val="000000"/>
                    </w:rPr>
                    <w:t>-0.04</w:t>
                  </w:r>
                </w:p>
              </w:tc>
              <w:tc>
                <w:tcPr>
                  <w:tcW w:w="114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553AB5F0" w14:textId="77777777" w:rsidR="00010F0A" w:rsidRDefault="00010F0A" w:rsidP="00010F0A">
                  <w:pPr>
                    <w:rPr>
                      <w:rFonts w:ascii="Aptos" w:hAnsi="Aptos"/>
                      <w:color w:val="000000"/>
                    </w:rPr>
                  </w:pPr>
                  <w:r>
                    <w:rPr>
                      <w:rFonts w:ascii="Aptos" w:hAnsi="Aptos"/>
                      <w:color w:val="000000"/>
                    </w:rPr>
                    <w:t>+0.55</w:t>
                  </w:r>
                </w:p>
              </w:tc>
              <w:tc>
                <w:tcPr>
                  <w:tcW w:w="118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4862904E" w14:textId="77777777" w:rsidR="00010F0A" w:rsidRDefault="00010F0A" w:rsidP="00010F0A">
                  <w:pPr>
                    <w:rPr>
                      <w:rFonts w:ascii="Aptos" w:hAnsi="Aptos"/>
                      <w:color w:val="000000"/>
                    </w:rPr>
                  </w:pPr>
                  <w:r>
                    <w:rPr>
                      <w:rFonts w:ascii="Aptos" w:hAnsi="Aptos"/>
                      <w:color w:val="000000"/>
                    </w:rPr>
                    <w:t>-1.32</w:t>
                  </w:r>
                </w:p>
              </w:tc>
            </w:tr>
            <w:tr w:rsidR="00010F0A" w14:paraId="192DC7C0" w14:textId="77777777" w:rsidTr="00010F0A">
              <w:trPr>
                <w:trHeight w:val="330"/>
              </w:trPr>
              <w:tc>
                <w:tcPr>
                  <w:tcW w:w="274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1EEDDBE3" w14:textId="77777777" w:rsidR="00010F0A" w:rsidRDefault="00010F0A" w:rsidP="00010F0A">
                  <w:pPr>
                    <w:rPr>
                      <w:rFonts w:ascii="Aptos" w:hAnsi="Aptos"/>
                      <w:color w:val="000000"/>
                    </w:rPr>
                  </w:pPr>
                  <w:r>
                    <w:rPr>
                      <w:rFonts w:ascii="Aptos" w:hAnsi="Aptos"/>
                      <w:color w:val="000000"/>
                    </w:rPr>
                    <w:t>All students</w:t>
                  </w:r>
                </w:p>
              </w:tc>
              <w:tc>
                <w:tcPr>
                  <w:tcW w:w="132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26195913" w14:textId="77777777" w:rsidR="00010F0A" w:rsidRDefault="00010F0A" w:rsidP="00010F0A">
                  <w:pPr>
                    <w:rPr>
                      <w:rFonts w:ascii="Aptos" w:hAnsi="Aptos"/>
                      <w:color w:val="000000"/>
                    </w:rPr>
                  </w:pPr>
                  <w:r>
                    <w:rPr>
                      <w:rFonts w:ascii="Aptos" w:hAnsi="Aptos"/>
                      <w:color w:val="000000"/>
                    </w:rPr>
                    <w:t>+0.26</w:t>
                  </w:r>
                </w:p>
              </w:tc>
              <w:tc>
                <w:tcPr>
                  <w:tcW w:w="15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357AFDED" w14:textId="77777777" w:rsidR="00010F0A" w:rsidRDefault="00010F0A" w:rsidP="00010F0A">
                  <w:pPr>
                    <w:rPr>
                      <w:rFonts w:ascii="Aptos" w:hAnsi="Aptos"/>
                      <w:color w:val="000000"/>
                    </w:rPr>
                  </w:pPr>
                  <w:r>
                    <w:rPr>
                      <w:rFonts w:ascii="Aptos" w:hAnsi="Aptos"/>
                      <w:color w:val="000000"/>
                    </w:rPr>
                    <w:t>-0.14</w:t>
                  </w:r>
                </w:p>
              </w:tc>
              <w:tc>
                <w:tcPr>
                  <w:tcW w:w="114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4A6C46A3" w14:textId="77777777" w:rsidR="00010F0A" w:rsidRDefault="00010F0A" w:rsidP="00010F0A">
                  <w:pPr>
                    <w:rPr>
                      <w:rFonts w:ascii="Aptos" w:hAnsi="Aptos"/>
                      <w:color w:val="000000"/>
                    </w:rPr>
                  </w:pPr>
                  <w:r>
                    <w:rPr>
                      <w:rFonts w:ascii="Aptos" w:hAnsi="Aptos"/>
                      <w:color w:val="000000"/>
                    </w:rPr>
                    <w:t>+0.37</w:t>
                  </w:r>
                </w:p>
              </w:tc>
              <w:tc>
                <w:tcPr>
                  <w:tcW w:w="118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36DEB761" w14:textId="77777777" w:rsidR="00010F0A" w:rsidRDefault="00010F0A" w:rsidP="00010F0A">
                  <w:pPr>
                    <w:rPr>
                      <w:rFonts w:ascii="Aptos" w:hAnsi="Aptos"/>
                      <w:color w:val="000000"/>
                    </w:rPr>
                  </w:pPr>
                  <w:r>
                    <w:rPr>
                      <w:rFonts w:ascii="Aptos" w:hAnsi="Aptos"/>
                      <w:color w:val="000000"/>
                    </w:rPr>
                    <w:t>-1.41</w:t>
                  </w:r>
                </w:p>
              </w:tc>
            </w:tr>
          </w:tbl>
          <w:p w14:paraId="55A66327" w14:textId="77777777" w:rsidR="00455CA9" w:rsidRDefault="00455CA9" w:rsidP="0080454E"/>
          <w:p w14:paraId="1BC7C795" w14:textId="77777777" w:rsidR="00DA730A" w:rsidRDefault="00010F0A" w:rsidP="0080454E">
            <w:r>
              <w:t xml:space="preserve">Progress data </w:t>
            </w:r>
            <w:r w:rsidR="007415AD">
              <w:t xml:space="preserve">for 2023-24 </w:t>
            </w:r>
            <w:r>
              <w:t xml:space="preserve">shows significant gains for </w:t>
            </w:r>
            <w:r w:rsidR="007415AD">
              <w:t>disadvantaged students where there are outperforming or in-line with their non-disadvantaged peers in nearly all English and Maths data sets.</w:t>
            </w:r>
          </w:p>
          <w:p w14:paraId="1760A810" w14:textId="3EFE9A4D" w:rsidR="007564A9" w:rsidRDefault="007564A9" w:rsidP="0080454E">
            <w:r>
              <w:t xml:space="preserve">Year 10 progress data 23-24: </w:t>
            </w:r>
          </w:p>
          <w:p w14:paraId="64758831" w14:textId="5239DCFC" w:rsidR="007564A9" w:rsidRDefault="007564A9" w:rsidP="0080454E">
            <w:r>
              <w:t>All students:</w:t>
            </w:r>
          </w:p>
          <w:p w14:paraId="6ACEAAD3" w14:textId="157C4D14" w:rsidR="007564A9" w:rsidRDefault="007564A9" w:rsidP="0080454E">
            <w:r w:rsidRPr="002042CB">
              <w:rPr>
                <w:noProof/>
              </w:rPr>
              <w:drawing>
                <wp:inline distT="0" distB="0" distL="0" distR="0" wp14:anchorId="5CA5A572" wp14:editId="4AD57DA4">
                  <wp:extent cx="3700130" cy="3507266"/>
                  <wp:effectExtent l="0" t="0" r="0" b="0"/>
                  <wp:docPr id="2122241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241477" name=""/>
                          <pic:cNvPicPr/>
                        </pic:nvPicPr>
                        <pic:blipFill>
                          <a:blip r:embed="rId19"/>
                          <a:stretch>
                            <a:fillRect/>
                          </a:stretch>
                        </pic:blipFill>
                        <pic:spPr>
                          <a:xfrm>
                            <a:off x="0" y="0"/>
                            <a:ext cx="3711907" cy="3518429"/>
                          </a:xfrm>
                          <a:prstGeom prst="rect">
                            <a:avLst/>
                          </a:prstGeom>
                        </pic:spPr>
                      </pic:pic>
                    </a:graphicData>
                  </a:graphic>
                </wp:inline>
              </w:drawing>
            </w:r>
          </w:p>
          <w:p w14:paraId="750B3E12" w14:textId="7C6BDF3A" w:rsidR="007564A9" w:rsidRDefault="007564A9" w:rsidP="0080454E">
            <w:r>
              <w:lastRenderedPageBreak/>
              <w:t>Disadvantaged students:</w:t>
            </w:r>
          </w:p>
          <w:p w14:paraId="60B6060A" w14:textId="67BEAAE2" w:rsidR="007564A9" w:rsidRDefault="001875C5" w:rsidP="0080454E">
            <w:r w:rsidRPr="002042CB">
              <w:rPr>
                <w:noProof/>
              </w:rPr>
              <w:drawing>
                <wp:inline distT="0" distB="0" distL="0" distR="0" wp14:anchorId="18AE86D5" wp14:editId="740DA7F9">
                  <wp:extent cx="3636335" cy="3446796"/>
                  <wp:effectExtent l="0" t="0" r="2540" b="1270"/>
                  <wp:docPr id="194754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54576" name=""/>
                          <pic:cNvPicPr/>
                        </pic:nvPicPr>
                        <pic:blipFill>
                          <a:blip r:embed="rId20"/>
                          <a:stretch>
                            <a:fillRect/>
                          </a:stretch>
                        </pic:blipFill>
                        <pic:spPr>
                          <a:xfrm>
                            <a:off x="0" y="0"/>
                            <a:ext cx="3643627" cy="3453708"/>
                          </a:xfrm>
                          <a:prstGeom prst="rect">
                            <a:avLst/>
                          </a:prstGeom>
                        </pic:spPr>
                      </pic:pic>
                    </a:graphicData>
                  </a:graphic>
                </wp:inline>
              </w:drawing>
            </w:r>
          </w:p>
          <w:p w14:paraId="3CA7E425" w14:textId="750D0B62" w:rsidR="001875C5" w:rsidRDefault="007415AD" w:rsidP="001875C5">
            <w:r>
              <w:t xml:space="preserve"> </w:t>
            </w:r>
            <w:r w:rsidR="001875C5">
              <w:t xml:space="preserve">Year 9 progress data 23-24: </w:t>
            </w:r>
          </w:p>
          <w:p w14:paraId="0FE82D85" w14:textId="77777777" w:rsidR="001875C5" w:rsidRDefault="001875C5" w:rsidP="001875C5">
            <w:r>
              <w:t>All students:</w:t>
            </w:r>
          </w:p>
          <w:p w14:paraId="4A9C625A" w14:textId="4EC61A2B" w:rsidR="000F0085" w:rsidRDefault="000F2581" w:rsidP="001875C5">
            <w:r w:rsidRPr="00FA1B92">
              <w:rPr>
                <w:noProof/>
              </w:rPr>
              <w:drawing>
                <wp:inline distT="0" distB="0" distL="0" distR="0" wp14:anchorId="20E6B5AB" wp14:editId="360F92D5">
                  <wp:extent cx="3678865" cy="2594381"/>
                  <wp:effectExtent l="0" t="0" r="0" b="0"/>
                  <wp:docPr id="1998349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349052" name=""/>
                          <pic:cNvPicPr/>
                        </pic:nvPicPr>
                        <pic:blipFill rotWithShape="1">
                          <a:blip r:embed="rId21"/>
                          <a:srcRect b="50096"/>
                          <a:stretch/>
                        </pic:blipFill>
                        <pic:spPr bwMode="auto">
                          <a:xfrm>
                            <a:off x="0" y="0"/>
                            <a:ext cx="3687848" cy="2600716"/>
                          </a:xfrm>
                          <a:prstGeom prst="rect">
                            <a:avLst/>
                          </a:prstGeom>
                          <a:ln>
                            <a:noFill/>
                          </a:ln>
                          <a:extLst>
                            <a:ext uri="{53640926-AAD7-44D8-BBD7-CCE9431645EC}">
                              <a14:shadowObscured xmlns:a14="http://schemas.microsoft.com/office/drawing/2010/main"/>
                            </a:ext>
                          </a:extLst>
                        </pic:spPr>
                      </pic:pic>
                    </a:graphicData>
                  </a:graphic>
                </wp:inline>
              </w:drawing>
            </w:r>
          </w:p>
          <w:p w14:paraId="1E71CD05" w14:textId="77777777" w:rsidR="000F0085" w:rsidRDefault="000F0085" w:rsidP="001875C5"/>
          <w:p w14:paraId="3C327875" w14:textId="5BF2151B" w:rsidR="000F0085" w:rsidRDefault="000F0085" w:rsidP="001875C5">
            <w:r>
              <w:t>Disadvantaged students:</w:t>
            </w:r>
          </w:p>
          <w:p w14:paraId="0A6402C1" w14:textId="3B4E3153" w:rsidR="000F0085" w:rsidRDefault="00772F1B" w:rsidP="001875C5">
            <w:r w:rsidRPr="00FA1B92">
              <w:rPr>
                <w:noProof/>
              </w:rPr>
              <w:lastRenderedPageBreak/>
              <w:drawing>
                <wp:inline distT="0" distB="0" distL="0" distR="0" wp14:anchorId="41C71079" wp14:editId="378D2D57">
                  <wp:extent cx="4933950" cy="3416569"/>
                  <wp:effectExtent l="0" t="0" r="0" b="0"/>
                  <wp:docPr id="1591917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349052" name=""/>
                          <pic:cNvPicPr/>
                        </pic:nvPicPr>
                        <pic:blipFill rotWithShape="1">
                          <a:blip r:embed="rId21"/>
                          <a:srcRect t="50998"/>
                          <a:stretch/>
                        </pic:blipFill>
                        <pic:spPr bwMode="auto">
                          <a:xfrm>
                            <a:off x="0" y="0"/>
                            <a:ext cx="4934639" cy="3417046"/>
                          </a:xfrm>
                          <a:prstGeom prst="rect">
                            <a:avLst/>
                          </a:prstGeom>
                          <a:ln>
                            <a:noFill/>
                          </a:ln>
                          <a:extLst>
                            <a:ext uri="{53640926-AAD7-44D8-BBD7-CCE9431645EC}">
                              <a14:shadowObscured xmlns:a14="http://schemas.microsoft.com/office/drawing/2010/main"/>
                            </a:ext>
                          </a:extLst>
                        </pic:spPr>
                      </pic:pic>
                    </a:graphicData>
                  </a:graphic>
                </wp:inline>
              </w:drawing>
            </w:r>
          </w:p>
          <w:p w14:paraId="09773B43" w14:textId="339BE3CC" w:rsidR="00B469BB" w:rsidRDefault="00B469BB" w:rsidP="00B469BB">
            <w:r>
              <w:t xml:space="preserve">Year 8 progress data 23-24: </w:t>
            </w:r>
          </w:p>
          <w:p w14:paraId="63C4423C" w14:textId="412B0F12" w:rsidR="00B469BB" w:rsidRDefault="00B469BB" w:rsidP="00B469BB">
            <w:r>
              <w:t>All students:</w:t>
            </w:r>
          </w:p>
          <w:p w14:paraId="66B84365" w14:textId="04073653" w:rsidR="00B469BB" w:rsidRDefault="00FE00F6" w:rsidP="00B469BB">
            <w:r w:rsidRPr="00B9433E">
              <w:rPr>
                <w:noProof/>
              </w:rPr>
              <w:drawing>
                <wp:inline distT="0" distB="0" distL="0" distR="0" wp14:anchorId="23BBB2CB" wp14:editId="0113F4B9">
                  <wp:extent cx="4933950" cy="3327400"/>
                  <wp:effectExtent l="0" t="0" r="0" b="6350"/>
                  <wp:docPr id="1660824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24678" name=""/>
                          <pic:cNvPicPr/>
                        </pic:nvPicPr>
                        <pic:blipFill rotWithShape="1">
                          <a:blip r:embed="rId22"/>
                          <a:srcRect r="202" b="50384"/>
                          <a:stretch/>
                        </pic:blipFill>
                        <pic:spPr bwMode="auto">
                          <a:xfrm>
                            <a:off x="0" y="0"/>
                            <a:ext cx="4934171" cy="3327549"/>
                          </a:xfrm>
                          <a:prstGeom prst="rect">
                            <a:avLst/>
                          </a:prstGeom>
                          <a:ln>
                            <a:noFill/>
                          </a:ln>
                          <a:extLst>
                            <a:ext uri="{53640926-AAD7-44D8-BBD7-CCE9431645EC}">
                              <a14:shadowObscured xmlns:a14="http://schemas.microsoft.com/office/drawing/2010/main"/>
                            </a:ext>
                          </a:extLst>
                        </pic:spPr>
                      </pic:pic>
                    </a:graphicData>
                  </a:graphic>
                </wp:inline>
              </w:drawing>
            </w:r>
          </w:p>
          <w:p w14:paraId="4E663A10" w14:textId="6CC0D314" w:rsidR="00B469BB" w:rsidRDefault="00B469BB" w:rsidP="00B469BB">
            <w:r>
              <w:t>Disadvantaged students:</w:t>
            </w:r>
          </w:p>
          <w:p w14:paraId="48B40799" w14:textId="79D1BE7C" w:rsidR="00FE00F6" w:rsidRPr="00FE00F6" w:rsidRDefault="00FE00F6" w:rsidP="00B469BB">
            <w:pPr>
              <w:rPr>
                <w:b/>
                <w:bCs/>
              </w:rPr>
            </w:pPr>
            <w:r w:rsidRPr="00B9433E">
              <w:rPr>
                <w:noProof/>
              </w:rPr>
              <w:lastRenderedPageBreak/>
              <w:drawing>
                <wp:inline distT="0" distB="0" distL="0" distR="0" wp14:anchorId="7E8588D0" wp14:editId="5187747E">
                  <wp:extent cx="4943943" cy="3232785"/>
                  <wp:effectExtent l="0" t="0" r="9525" b="5715"/>
                  <wp:docPr id="1733907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24678" name=""/>
                          <pic:cNvPicPr/>
                        </pic:nvPicPr>
                        <pic:blipFill rotWithShape="1">
                          <a:blip r:embed="rId22"/>
                          <a:srcRect t="51794"/>
                          <a:stretch/>
                        </pic:blipFill>
                        <pic:spPr bwMode="auto">
                          <a:xfrm>
                            <a:off x="0" y="0"/>
                            <a:ext cx="4944165" cy="3232930"/>
                          </a:xfrm>
                          <a:prstGeom prst="rect">
                            <a:avLst/>
                          </a:prstGeom>
                          <a:ln>
                            <a:noFill/>
                          </a:ln>
                          <a:extLst>
                            <a:ext uri="{53640926-AAD7-44D8-BBD7-CCE9431645EC}">
                              <a14:shadowObscured xmlns:a14="http://schemas.microsoft.com/office/drawing/2010/main"/>
                            </a:ext>
                          </a:extLst>
                        </pic:spPr>
                      </pic:pic>
                    </a:graphicData>
                  </a:graphic>
                </wp:inline>
              </w:drawing>
            </w:r>
          </w:p>
          <w:p w14:paraId="61BBF501" w14:textId="5E335CD2" w:rsidR="00B469BB" w:rsidRDefault="00B469BB" w:rsidP="00B469BB">
            <w:r>
              <w:t xml:space="preserve">Year 7 progress data 23-24: </w:t>
            </w:r>
          </w:p>
          <w:p w14:paraId="4D94D4FE" w14:textId="31D6C125" w:rsidR="00B469BB" w:rsidRDefault="00B469BB" w:rsidP="00B469BB">
            <w:r>
              <w:t>All students:</w:t>
            </w:r>
          </w:p>
          <w:p w14:paraId="59744F1A" w14:textId="74EC6464" w:rsidR="00B469BB" w:rsidRDefault="00E618F8" w:rsidP="00B469BB">
            <w:r w:rsidRPr="00DE0285">
              <w:rPr>
                <w:noProof/>
              </w:rPr>
              <w:drawing>
                <wp:inline distT="0" distB="0" distL="0" distR="0" wp14:anchorId="2BD435DC" wp14:editId="0722F132">
                  <wp:extent cx="4848902" cy="3381847"/>
                  <wp:effectExtent l="0" t="0" r="8890" b="9525"/>
                  <wp:docPr id="1139276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276423" name=""/>
                          <pic:cNvPicPr/>
                        </pic:nvPicPr>
                        <pic:blipFill>
                          <a:blip r:embed="rId23"/>
                          <a:stretch>
                            <a:fillRect/>
                          </a:stretch>
                        </pic:blipFill>
                        <pic:spPr>
                          <a:xfrm>
                            <a:off x="0" y="0"/>
                            <a:ext cx="4848902" cy="3381847"/>
                          </a:xfrm>
                          <a:prstGeom prst="rect">
                            <a:avLst/>
                          </a:prstGeom>
                        </pic:spPr>
                      </pic:pic>
                    </a:graphicData>
                  </a:graphic>
                </wp:inline>
              </w:drawing>
            </w:r>
          </w:p>
          <w:p w14:paraId="7A7C518C" w14:textId="6D858D7E" w:rsidR="00B469BB" w:rsidRDefault="00B469BB" w:rsidP="00B469BB">
            <w:r>
              <w:t>Disadvantaged students:</w:t>
            </w:r>
          </w:p>
          <w:p w14:paraId="65B6D709" w14:textId="77777777" w:rsidR="00010F0A" w:rsidRDefault="00E10658" w:rsidP="00E618F8">
            <w:r w:rsidRPr="00DE0285">
              <w:rPr>
                <w:noProof/>
              </w:rPr>
              <w:lastRenderedPageBreak/>
              <w:drawing>
                <wp:inline distT="0" distB="0" distL="0" distR="0" wp14:anchorId="2731D635" wp14:editId="3DF36D72">
                  <wp:extent cx="4896533" cy="3353268"/>
                  <wp:effectExtent l="0" t="0" r="0" b="0"/>
                  <wp:docPr id="1402733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33439" name=""/>
                          <pic:cNvPicPr/>
                        </pic:nvPicPr>
                        <pic:blipFill>
                          <a:blip r:embed="rId24"/>
                          <a:stretch>
                            <a:fillRect/>
                          </a:stretch>
                        </pic:blipFill>
                        <pic:spPr>
                          <a:xfrm>
                            <a:off x="0" y="0"/>
                            <a:ext cx="4896533" cy="3353268"/>
                          </a:xfrm>
                          <a:prstGeom prst="rect">
                            <a:avLst/>
                          </a:prstGeom>
                        </pic:spPr>
                      </pic:pic>
                    </a:graphicData>
                  </a:graphic>
                </wp:inline>
              </w:drawing>
            </w:r>
          </w:p>
          <w:p w14:paraId="6A9691FF" w14:textId="77777777" w:rsidR="00E10658" w:rsidRDefault="00E10658" w:rsidP="00E618F8"/>
          <w:p w14:paraId="230BF849" w14:textId="677313C8" w:rsidR="00E10658" w:rsidRDefault="00E10658" w:rsidP="00E618F8"/>
          <w:p w14:paraId="0AB119ED" w14:textId="77777777" w:rsidR="00893769" w:rsidRDefault="00893769" w:rsidP="00E618F8"/>
          <w:p w14:paraId="48D45F63" w14:textId="05A7D432" w:rsidR="00893769" w:rsidRDefault="00893769" w:rsidP="00E618F8">
            <w:r>
              <w:t xml:space="preserve">This outlines the impact of our Pupil Premium strategies on the 23-24 whole school cohort. </w:t>
            </w:r>
          </w:p>
        </w:tc>
      </w:tr>
    </w:tbl>
    <w:p w14:paraId="16685D85" w14:textId="77777777" w:rsidR="0080454E" w:rsidRPr="0080454E" w:rsidRDefault="0080454E" w:rsidP="0080454E"/>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35693B2"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rsidP="00F54FCB">
            <w:pPr>
              <w:pStyle w:val="TableRowCentered"/>
              <w:ind w:left="0" w:right="0"/>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rsidP="00F54FCB">
            <w:pPr>
              <w:pStyle w:val="TableRowCentered"/>
              <w:ind w:left="0" w:right="0"/>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bookmarkEnd w:id="14"/>
    <w:bookmarkEnd w:id="15"/>
    <w:bookmarkEnd w:id="16"/>
    <w:p w14:paraId="01F0D165" w14:textId="1FC4C866" w:rsidR="0008384B" w:rsidRDefault="0008384B" w:rsidP="0008384B"/>
    <w:sectPr w:rsidR="0008384B">
      <w:footerReference w:type="default" r:id="rId2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ADCEF" w14:textId="77777777" w:rsidR="0063670E" w:rsidRDefault="0063670E">
      <w:pPr>
        <w:spacing w:after="0" w:line="240" w:lineRule="auto"/>
      </w:pPr>
      <w:r>
        <w:separator/>
      </w:r>
    </w:p>
  </w:endnote>
  <w:endnote w:type="continuationSeparator" w:id="0">
    <w:p w14:paraId="7F72218A" w14:textId="77777777" w:rsidR="0063670E" w:rsidRDefault="0063670E">
      <w:pPr>
        <w:spacing w:after="0" w:line="240" w:lineRule="auto"/>
      </w:pPr>
      <w:r>
        <w:continuationSeparator/>
      </w:r>
    </w:p>
  </w:endnote>
  <w:endnote w:type="continuationNotice" w:id="1">
    <w:p w14:paraId="64E41970" w14:textId="77777777" w:rsidR="0063670E" w:rsidRDefault="006367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CFA8D" w14:textId="77777777" w:rsidR="0063670E" w:rsidRDefault="0063670E">
      <w:pPr>
        <w:spacing w:after="0" w:line="240" w:lineRule="auto"/>
      </w:pPr>
      <w:r>
        <w:separator/>
      </w:r>
    </w:p>
  </w:footnote>
  <w:footnote w:type="continuationSeparator" w:id="0">
    <w:p w14:paraId="6F8EEBA0" w14:textId="77777777" w:rsidR="0063670E" w:rsidRDefault="0063670E">
      <w:pPr>
        <w:spacing w:after="0" w:line="240" w:lineRule="auto"/>
      </w:pPr>
      <w:r>
        <w:continuationSeparator/>
      </w:r>
    </w:p>
  </w:footnote>
  <w:footnote w:type="continuationNotice" w:id="1">
    <w:p w14:paraId="60BF06D9" w14:textId="77777777" w:rsidR="0063670E" w:rsidRDefault="006367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85591"/>
    <w:multiLevelType w:val="multilevel"/>
    <w:tmpl w:val="D88A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5B16604"/>
    <w:multiLevelType w:val="multilevel"/>
    <w:tmpl w:val="FDB6F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4"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D3D4037"/>
    <w:multiLevelType w:val="multilevel"/>
    <w:tmpl w:val="8B1C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1391611"/>
    <w:multiLevelType w:val="multilevel"/>
    <w:tmpl w:val="732A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355A0"/>
    <w:multiLevelType w:val="hybridMultilevel"/>
    <w:tmpl w:val="592C4060"/>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33DB25A3"/>
    <w:multiLevelType w:val="multilevel"/>
    <w:tmpl w:val="318A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2D5612"/>
    <w:multiLevelType w:val="multilevel"/>
    <w:tmpl w:val="6DE68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9C6A85"/>
    <w:multiLevelType w:val="multilevel"/>
    <w:tmpl w:val="4B16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020AD3"/>
    <w:multiLevelType w:val="hybridMultilevel"/>
    <w:tmpl w:val="D400B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A906C35"/>
    <w:multiLevelType w:val="multilevel"/>
    <w:tmpl w:val="09F0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70192F1D"/>
    <w:multiLevelType w:val="multilevel"/>
    <w:tmpl w:val="4B16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6C098A"/>
    <w:multiLevelType w:val="multilevel"/>
    <w:tmpl w:val="4770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B7342CD"/>
    <w:multiLevelType w:val="hybridMultilevel"/>
    <w:tmpl w:val="CA548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11259">
    <w:abstractNumId w:val="7"/>
  </w:num>
  <w:num w:numId="2" w16cid:durableId="1628730595">
    <w:abstractNumId w:val="5"/>
  </w:num>
  <w:num w:numId="3" w16cid:durableId="497188144">
    <w:abstractNumId w:val="8"/>
  </w:num>
  <w:num w:numId="4" w16cid:durableId="1138914232">
    <w:abstractNumId w:val="10"/>
  </w:num>
  <w:num w:numId="5" w16cid:durableId="857932188">
    <w:abstractNumId w:val="1"/>
  </w:num>
  <w:num w:numId="6" w16cid:durableId="798501009">
    <w:abstractNumId w:val="16"/>
  </w:num>
  <w:num w:numId="7" w16cid:durableId="1210847263">
    <w:abstractNumId w:val="21"/>
  </w:num>
  <w:num w:numId="8" w16cid:durableId="982348153">
    <w:abstractNumId w:val="28"/>
  </w:num>
  <w:num w:numId="9" w16cid:durableId="1529290868">
    <w:abstractNumId w:val="26"/>
  </w:num>
  <w:num w:numId="10" w16cid:durableId="1171066271">
    <w:abstractNumId w:val="23"/>
  </w:num>
  <w:num w:numId="11" w16cid:durableId="1453552857">
    <w:abstractNumId w:val="6"/>
  </w:num>
  <w:num w:numId="12" w16cid:durableId="1812097430">
    <w:abstractNumId w:val="27"/>
  </w:num>
  <w:num w:numId="13" w16cid:durableId="42288650">
    <w:abstractNumId w:val="20"/>
  </w:num>
  <w:num w:numId="14" w16cid:durableId="1721712531">
    <w:abstractNumId w:val="17"/>
  </w:num>
  <w:num w:numId="15" w16cid:durableId="1235432793">
    <w:abstractNumId w:val="4"/>
  </w:num>
  <w:num w:numId="16" w16cid:durableId="884678859">
    <w:abstractNumId w:val="3"/>
  </w:num>
  <w:num w:numId="17" w16cid:durableId="826165421">
    <w:abstractNumId w:val="18"/>
  </w:num>
  <w:num w:numId="18" w16cid:durableId="1655138328">
    <w:abstractNumId w:val="11"/>
  </w:num>
  <w:num w:numId="19" w16cid:durableId="1198198522">
    <w:abstractNumId w:val="14"/>
  </w:num>
  <w:num w:numId="20" w16cid:durableId="861168402">
    <w:abstractNumId w:val="29"/>
  </w:num>
  <w:num w:numId="21" w16cid:durableId="1946498726">
    <w:abstractNumId w:val="12"/>
  </w:num>
  <w:num w:numId="22" w16cid:durableId="1931156079">
    <w:abstractNumId w:val="19"/>
  </w:num>
  <w:num w:numId="23" w16cid:durableId="400254214">
    <w:abstractNumId w:val="9"/>
  </w:num>
  <w:num w:numId="24" w16cid:durableId="347023191">
    <w:abstractNumId w:val="25"/>
  </w:num>
  <w:num w:numId="25" w16cid:durableId="911087058">
    <w:abstractNumId w:val="0"/>
  </w:num>
  <w:num w:numId="26" w16cid:durableId="357587540">
    <w:abstractNumId w:val="13"/>
  </w:num>
  <w:num w:numId="27" w16cid:durableId="1336879946">
    <w:abstractNumId w:val="22"/>
  </w:num>
  <w:num w:numId="28" w16cid:durableId="429011463">
    <w:abstractNumId w:val="24"/>
  </w:num>
  <w:num w:numId="29" w16cid:durableId="1406147907">
    <w:abstractNumId w:val="15"/>
  </w:num>
  <w:num w:numId="30" w16cid:durableId="1810901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10F0A"/>
    <w:rsid w:val="000143E7"/>
    <w:rsid w:val="00023729"/>
    <w:rsid w:val="000243B4"/>
    <w:rsid w:val="0002530E"/>
    <w:rsid w:val="0002710D"/>
    <w:rsid w:val="00031EA0"/>
    <w:rsid w:val="000332F2"/>
    <w:rsid w:val="00036678"/>
    <w:rsid w:val="00040082"/>
    <w:rsid w:val="000452EB"/>
    <w:rsid w:val="00045603"/>
    <w:rsid w:val="000463AE"/>
    <w:rsid w:val="000505A2"/>
    <w:rsid w:val="000507A3"/>
    <w:rsid w:val="00057F56"/>
    <w:rsid w:val="00060A62"/>
    <w:rsid w:val="00060C1C"/>
    <w:rsid w:val="00064366"/>
    <w:rsid w:val="00066B73"/>
    <w:rsid w:val="00071481"/>
    <w:rsid w:val="00071D77"/>
    <w:rsid w:val="00075FAE"/>
    <w:rsid w:val="000826A4"/>
    <w:rsid w:val="00082F38"/>
    <w:rsid w:val="000837DB"/>
    <w:rsid w:val="0008384B"/>
    <w:rsid w:val="000929EC"/>
    <w:rsid w:val="00093CDE"/>
    <w:rsid w:val="000A5C58"/>
    <w:rsid w:val="000A6379"/>
    <w:rsid w:val="000B0D49"/>
    <w:rsid w:val="000B203E"/>
    <w:rsid w:val="000C649F"/>
    <w:rsid w:val="000D22B0"/>
    <w:rsid w:val="000D318D"/>
    <w:rsid w:val="000D35C9"/>
    <w:rsid w:val="000D3DDF"/>
    <w:rsid w:val="000D520C"/>
    <w:rsid w:val="000D6596"/>
    <w:rsid w:val="000D6779"/>
    <w:rsid w:val="000E6DF0"/>
    <w:rsid w:val="000F0085"/>
    <w:rsid w:val="000F2581"/>
    <w:rsid w:val="001037CB"/>
    <w:rsid w:val="00104541"/>
    <w:rsid w:val="0010629E"/>
    <w:rsid w:val="00114288"/>
    <w:rsid w:val="00115538"/>
    <w:rsid w:val="00116FA8"/>
    <w:rsid w:val="00120AB1"/>
    <w:rsid w:val="00123A7F"/>
    <w:rsid w:val="001278D0"/>
    <w:rsid w:val="00127A8B"/>
    <w:rsid w:val="00127F72"/>
    <w:rsid w:val="00131627"/>
    <w:rsid w:val="00140646"/>
    <w:rsid w:val="0014409B"/>
    <w:rsid w:val="00146A80"/>
    <w:rsid w:val="00147A4B"/>
    <w:rsid w:val="00152554"/>
    <w:rsid w:val="00155944"/>
    <w:rsid w:val="001559D7"/>
    <w:rsid w:val="0016523C"/>
    <w:rsid w:val="001671ED"/>
    <w:rsid w:val="00170714"/>
    <w:rsid w:val="00171D79"/>
    <w:rsid w:val="0017264D"/>
    <w:rsid w:val="001727FA"/>
    <w:rsid w:val="00172B0F"/>
    <w:rsid w:val="00172DC7"/>
    <w:rsid w:val="00173D4C"/>
    <w:rsid w:val="001759B6"/>
    <w:rsid w:val="001761E3"/>
    <w:rsid w:val="0018104D"/>
    <w:rsid w:val="00181A7E"/>
    <w:rsid w:val="00182FD8"/>
    <w:rsid w:val="00183218"/>
    <w:rsid w:val="00184079"/>
    <w:rsid w:val="0018425F"/>
    <w:rsid w:val="00185988"/>
    <w:rsid w:val="00186666"/>
    <w:rsid w:val="001873B6"/>
    <w:rsid w:val="001875C5"/>
    <w:rsid w:val="001901E6"/>
    <w:rsid w:val="00191305"/>
    <w:rsid w:val="001948FB"/>
    <w:rsid w:val="00195B55"/>
    <w:rsid w:val="00195B9A"/>
    <w:rsid w:val="001A2FE8"/>
    <w:rsid w:val="001A33AC"/>
    <w:rsid w:val="001A43FE"/>
    <w:rsid w:val="001A6276"/>
    <w:rsid w:val="001B5DA7"/>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567E"/>
    <w:rsid w:val="00257A4E"/>
    <w:rsid w:val="00266FA5"/>
    <w:rsid w:val="00276FBA"/>
    <w:rsid w:val="00277665"/>
    <w:rsid w:val="002837AE"/>
    <w:rsid w:val="00287FA8"/>
    <w:rsid w:val="002920F4"/>
    <w:rsid w:val="0029308B"/>
    <w:rsid w:val="002940F3"/>
    <w:rsid w:val="00295842"/>
    <w:rsid w:val="002B3574"/>
    <w:rsid w:val="002B6B74"/>
    <w:rsid w:val="002C17B8"/>
    <w:rsid w:val="002C6AE7"/>
    <w:rsid w:val="002D2D4B"/>
    <w:rsid w:val="002D363B"/>
    <w:rsid w:val="002D3805"/>
    <w:rsid w:val="002D5701"/>
    <w:rsid w:val="002E4690"/>
    <w:rsid w:val="002E66AE"/>
    <w:rsid w:val="002E7763"/>
    <w:rsid w:val="002E7E3B"/>
    <w:rsid w:val="002F4C6F"/>
    <w:rsid w:val="002F5011"/>
    <w:rsid w:val="002F5842"/>
    <w:rsid w:val="002F5CE9"/>
    <w:rsid w:val="002F7847"/>
    <w:rsid w:val="00306CB7"/>
    <w:rsid w:val="00307ABF"/>
    <w:rsid w:val="003111F5"/>
    <w:rsid w:val="00317664"/>
    <w:rsid w:val="003341B7"/>
    <w:rsid w:val="00336200"/>
    <w:rsid w:val="00337418"/>
    <w:rsid w:val="00351D83"/>
    <w:rsid w:val="00352197"/>
    <w:rsid w:val="00353E46"/>
    <w:rsid w:val="0035659F"/>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5F9"/>
    <w:rsid w:val="003C7F7B"/>
    <w:rsid w:val="003D0CD6"/>
    <w:rsid w:val="003D2EAA"/>
    <w:rsid w:val="003D448C"/>
    <w:rsid w:val="003E054C"/>
    <w:rsid w:val="003E1EC5"/>
    <w:rsid w:val="003E27A0"/>
    <w:rsid w:val="003E3872"/>
    <w:rsid w:val="003E7246"/>
    <w:rsid w:val="004044AA"/>
    <w:rsid w:val="004044C8"/>
    <w:rsid w:val="00404F3F"/>
    <w:rsid w:val="00410B5D"/>
    <w:rsid w:val="00413BEC"/>
    <w:rsid w:val="0042265E"/>
    <w:rsid w:val="00424ED7"/>
    <w:rsid w:val="00425258"/>
    <w:rsid w:val="00426217"/>
    <w:rsid w:val="004272DA"/>
    <w:rsid w:val="00431A80"/>
    <w:rsid w:val="00433641"/>
    <w:rsid w:val="00435A89"/>
    <w:rsid w:val="004377A4"/>
    <w:rsid w:val="00440436"/>
    <w:rsid w:val="00443F69"/>
    <w:rsid w:val="00452267"/>
    <w:rsid w:val="00453307"/>
    <w:rsid w:val="00454EE1"/>
    <w:rsid w:val="00455A02"/>
    <w:rsid w:val="00455CA9"/>
    <w:rsid w:val="00457E36"/>
    <w:rsid w:val="00460BD3"/>
    <w:rsid w:val="00462F8F"/>
    <w:rsid w:val="004708F2"/>
    <w:rsid w:val="0047233E"/>
    <w:rsid w:val="004724DE"/>
    <w:rsid w:val="004770FE"/>
    <w:rsid w:val="0048157F"/>
    <w:rsid w:val="00481D56"/>
    <w:rsid w:val="00490408"/>
    <w:rsid w:val="00492B50"/>
    <w:rsid w:val="00493873"/>
    <w:rsid w:val="004A18A4"/>
    <w:rsid w:val="004A201C"/>
    <w:rsid w:val="004A4C45"/>
    <w:rsid w:val="004A55C4"/>
    <w:rsid w:val="004B0485"/>
    <w:rsid w:val="004B0ED7"/>
    <w:rsid w:val="004B1F58"/>
    <w:rsid w:val="004B428E"/>
    <w:rsid w:val="004B4D0A"/>
    <w:rsid w:val="004B4D37"/>
    <w:rsid w:val="004C3EE1"/>
    <w:rsid w:val="004C42F0"/>
    <w:rsid w:val="004D0F24"/>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22B36"/>
    <w:rsid w:val="00530E37"/>
    <w:rsid w:val="00535946"/>
    <w:rsid w:val="005452CF"/>
    <w:rsid w:val="005464A1"/>
    <w:rsid w:val="00546F12"/>
    <w:rsid w:val="0055167E"/>
    <w:rsid w:val="0055339C"/>
    <w:rsid w:val="005542CC"/>
    <w:rsid w:val="00560424"/>
    <w:rsid w:val="005629E6"/>
    <w:rsid w:val="00562B3C"/>
    <w:rsid w:val="005646FA"/>
    <w:rsid w:val="00564E40"/>
    <w:rsid w:val="005702D2"/>
    <w:rsid w:val="00573E1D"/>
    <w:rsid w:val="005750E2"/>
    <w:rsid w:val="0058313F"/>
    <w:rsid w:val="00585859"/>
    <w:rsid w:val="00586FBC"/>
    <w:rsid w:val="005879C9"/>
    <w:rsid w:val="00594CAD"/>
    <w:rsid w:val="005A0553"/>
    <w:rsid w:val="005A1D0B"/>
    <w:rsid w:val="005A3C6B"/>
    <w:rsid w:val="005B1EA5"/>
    <w:rsid w:val="005B37D1"/>
    <w:rsid w:val="005C0BBD"/>
    <w:rsid w:val="005C54A0"/>
    <w:rsid w:val="005D0D15"/>
    <w:rsid w:val="005D7176"/>
    <w:rsid w:val="005E18CB"/>
    <w:rsid w:val="005E1F24"/>
    <w:rsid w:val="005E3667"/>
    <w:rsid w:val="005E3E80"/>
    <w:rsid w:val="005E73F1"/>
    <w:rsid w:val="005F07EF"/>
    <w:rsid w:val="005F16B6"/>
    <w:rsid w:val="005F1A72"/>
    <w:rsid w:val="005F2600"/>
    <w:rsid w:val="005F5224"/>
    <w:rsid w:val="005F659C"/>
    <w:rsid w:val="005F74B4"/>
    <w:rsid w:val="005F7AA1"/>
    <w:rsid w:val="00600B2E"/>
    <w:rsid w:val="00601122"/>
    <w:rsid w:val="00606521"/>
    <w:rsid w:val="00607385"/>
    <w:rsid w:val="00607CEB"/>
    <w:rsid w:val="00613299"/>
    <w:rsid w:val="0061762D"/>
    <w:rsid w:val="00626F5D"/>
    <w:rsid w:val="00634238"/>
    <w:rsid w:val="00635FBC"/>
    <w:rsid w:val="0063670E"/>
    <w:rsid w:val="00636EB5"/>
    <w:rsid w:val="00637728"/>
    <w:rsid w:val="0064113A"/>
    <w:rsid w:val="0064167B"/>
    <w:rsid w:val="00643F96"/>
    <w:rsid w:val="00644002"/>
    <w:rsid w:val="00644F96"/>
    <w:rsid w:val="0064526B"/>
    <w:rsid w:val="006458B1"/>
    <w:rsid w:val="00650529"/>
    <w:rsid w:val="00650BAB"/>
    <w:rsid w:val="00651737"/>
    <w:rsid w:val="00654E31"/>
    <w:rsid w:val="00656A8F"/>
    <w:rsid w:val="00661FDB"/>
    <w:rsid w:val="006622D8"/>
    <w:rsid w:val="006652DD"/>
    <w:rsid w:val="0066558B"/>
    <w:rsid w:val="006671BF"/>
    <w:rsid w:val="00671AEB"/>
    <w:rsid w:val="00672A7D"/>
    <w:rsid w:val="00681416"/>
    <w:rsid w:val="0068165E"/>
    <w:rsid w:val="00685640"/>
    <w:rsid w:val="006A06F5"/>
    <w:rsid w:val="006A0ED2"/>
    <w:rsid w:val="006A6BFD"/>
    <w:rsid w:val="006B0A73"/>
    <w:rsid w:val="006B5A6B"/>
    <w:rsid w:val="006C0F82"/>
    <w:rsid w:val="006C19BD"/>
    <w:rsid w:val="006C25E8"/>
    <w:rsid w:val="006C332E"/>
    <w:rsid w:val="006C5901"/>
    <w:rsid w:val="006D00F1"/>
    <w:rsid w:val="006D377A"/>
    <w:rsid w:val="006D4222"/>
    <w:rsid w:val="006D5F45"/>
    <w:rsid w:val="006D6372"/>
    <w:rsid w:val="006D68C4"/>
    <w:rsid w:val="006D6E5C"/>
    <w:rsid w:val="006E02AF"/>
    <w:rsid w:val="006E0786"/>
    <w:rsid w:val="006E1B61"/>
    <w:rsid w:val="006E6B4A"/>
    <w:rsid w:val="006E7449"/>
    <w:rsid w:val="006E7FB1"/>
    <w:rsid w:val="006F2604"/>
    <w:rsid w:val="006F5319"/>
    <w:rsid w:val="006F55FD"/>
    <w:rsid w:val="006F5D21"/>
    <w:rsid w:val="00702AA6"/>
    <w:rsid w:val="007061DA"/>
    <w:rsid w:val="007109F6"/>
    <w:rsid w:val="00711BE3"/>
    <w:rsid w:val="007176C5"/>
    <w:rsid w:val="00721B51"/>
    <w:rsid w:val="00722CB3"/>
    <w:rsid w:val="00724594"/>
    <w:rsid w:val="00724FA7"/>
    <w:rsid w:val="00725415"/>
    <w:rsid w:val="007262CC"/>
    <w:rsid w:val="00727505"/>
    <w:rsid w:val="00731581"/>
    <w:rsid w:val="0073481D"/>
    <w:rsid w:val="007415AD"/>
    <w:rsid w:val="00741788"/>
    <w:rsid w:val="00741B9E"/>
    <w:rsid w:val="00743DAC"/>
    <w:rsid w:val="007455B3"/>
    <w:rsid w:val="007502CD"/>
    <w:rsid w:val="00752AE7"/>
    <w:rsid w:val="00752D3B"/>
    <w:rsid w:val="0075337B"/>
    <w:rsid w:val="00755CD4"/>
    <w:rsid w:val="007564A9"/>
    <w:rsid w:val="00757F96"/>
    <w:rsid w:val="007610B5"/>
    <w:rsid w:val="0076211F"/>
    <w:rsid w:val="007623CB"/>
    <w:rsid w:val="00762652"/>
    <w:rsid w:val="00764551"/>
    <w:rsid w:val="0076556F"/>
    <w:rsid w:val="007677B8"/>
    <w:rsid w:val="00770B41"/>
    <w:rsid w:val="00771D3E"/>
    <w:rsid w:val="00772F1B"/>
    <w:rsid w:val="00781713"/>
    <w:rsid w:val="00785285"/>
    <w:rsid w:val="0078529D"/>
    <w:rsid w:val="00785E77"/>
    <w:rsid w:val="0078720B"/>
    <w:rsid w:val="00787DC1"/>
    <w:rsid w:val="00794070"/>
    <w:rsid w:val="007A63CA"/>
    <w:rsid w:val="007A713B"/>
    <w:rsid w:val="007A7DA0"/>
    <w:rsid w:val="007B64E5"/>
    <w:rsid w:val="007C2F04"/>
    <w:rsid w:val="007F06E5"/>
    <w:rsid w:val="007F59BA"/>
    <w:rsid w:val="007F5B8B"/>
    <w:rsid w:val="0080454E"/>
    <w:rsid w:val="00805BC0"/>
    <w:rsid w:val="00814FB9"/>
    <w:rsid w:val="00817E9A"/>
    <w:rsid w:val="00827786"/>
    <w:rsid w:val="00827BDA"/>
    <w:rsid w:val="00830D57"/>
    <w:rsid w:val="00831F00"/>
    <w:rsid w:val="00840ADE"/>
    <w:rsid w:val="00850CA0"/>
    <w:rsid w:val="00852A2F"/>
    <w:rsid w:val="008608EE"/>
    <w:rsid w:val="00860B07"/>
    <w:rsid w:val="008616F6"/>
    <w:rsid w:val="0086259C"/>
    <w:rsid w:val="008674ED"/>
    <w:rsid w:val="0087074C"/>
    <w:rsid w:val="00874913"/>
    <w:rsid w:val="00883378"/>
    <w:rsid w:val="00883F24"/>
    <w:rsid w:val="00893769"/>
    <w:rsid w:val="008954A1"/>
    <w:rsid w:val="00897E1F"/>
    <w:rsid w:val="008A0F16"/>
    <w:rsid w:val="008A0F2E"/>
    <w:rsid w:val="008A3E8E"/>
    <w:rsid w:val="008A72D0"/>
    <w:rsid w:val="008B2CB4"/>
    <w:rsid w:val="008B3D82"/>
    <w:rsid w:val="008B5503"/>
    <w:rsid w:val="008B6404"/>
    <w:rsid w:val="008C2C21"/>
    <w:rsid w:val="008C4EA3"/>
    <w:rsid w:val="008C7DD3"/>
    <w:rsid w:val="008D054C"/>
    <w:rsid w:val="008E000B"/>
    <w:rsid w:val="008E167E"/>
    <w:rsid w:val="008E2926"/>
    <w:rsid w:val="008E35C6"/>
    <w:rsid w:val="008E3F49"/>
    <w:rsid w:val="008E7FBC"/>
    <w:rsid w:val="008F243B"/>
    <w:rsid w:val="008F2536"/>
    <w:rsid w:val="008F4675"/>
    <w:rsid w:val="008F50FE"/>
    <w:rsid w:val="008F69CD"/>
    <w:rsid w:val="008F6E88"/>
    <w:rsid w:val="00901E60"/>
    <w:rsid w:val="00904A66"/>
    <w:rsid w:val="00905029"/>
    <w:rsid w:val="0091573F"/>
    <w:rsid w:val="00921A3A"/>
    <w:rsid w:val="0092287F"/>
    <w:rsid w:val="0092495B"/>
    <w:rsid w:val="0092660E"/>
    <w:rsid w:val="00936519"/>
    <w:rsid w:val="009413AA"/>
    <w:rsid w:val="00941DA3"/>
    <w:rsid w:val="00942C0C"/>
    <w:rsid w:val="00951711"/>
    <w:rsid w:val="009531C0"/>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1D6"/>
    <w:rsid w:val="00A022AB"/>
    <w:rsid w:val="00A04F81"/>
    <w:rsid w:val="00A05A38"/>
    <w:rsid w:val="00A063DD"/>
    <w:rsid w:val="00A112B5"/>
    <w:rsid w:val="00A14EEA"/>
    <w:rsid w:val="00A30148"/>
    <w:rsid w:val="00A303E6"/>
    <w:rsid w:val="00A33636"/>
    <w:rsid w:val="00A44FBB"/>
    <w:rsid w:val="00A50104"/>
    <w:rsid w:val="00A522E0"/>
    <w:rsid w:val="00A52823"/>
    <w:rsid w:val="00A60E28"/>
    <w:rsid w:val="00A63579"/>
    <w:rsid w:val="00A638AC"/>
    <w:rsid w:val="00A64475"/>
    <w:rsid w:val="00A727E5"/>
    <w:rsid w:val="00A748B5"/>
    <w:rsid w:val="00A74B3A"/>
    <w:rsid w:val="00A7797A"/>
    <w:rsid w:val="00A80A32"/>
    <w:rsid w:val="00A81948"/>
    <w:rsid w:val="00A82A98"/>
    <w:rsid w:val="00A82D16"/>
    <w:rsid w:val="00A852F2"/>
    <w:rsid w:val="00A86119"/>
    <w:rsid w:val="00A8712A"/>
    <w:rsid w:val="00A91EA9"/>
    <w:rsid w:val="00A92E8C"/>
    <w:rsid w:val="00A95F75"/>
    <w:rsid w:val="00A968DA"/>
    <w:rsid w:val="00A96B83"/>
    <w:rsid w:val="00AA190E"/>
    <w:rsid w:val="00AA355B"/>
    <w:rsid w:val="00AA42E5"/>
    <w:rsid w:val="00AB24FA"/>
    <w:rsid w:val="00AB45B5"/>
    <w:rsid w:val="00AB5161"/>
    <w:rsid w:val="00AD7B5A"/>
    <w:rsid w:val="00AE229F"/>
    <w:rsid w:val="00AF0618"/>
    <w:rsid w:val="00AF5C41"/>
    <w:rsid w:val="00AF5E20"/>
    <w:rsid w:val="00B002FA"/>
    <w:rsid w:val="00B00327"/>
    <w:rsid w:val="00B024B3"/>
    <w:rsid w:val="00B11DE8"/>
    <w:rsid w:val="00B14EEA"/>
    <w:rsid w:val="00B179ED"/>
    <w:rsid w:val="00B20E18"/>
    <w:rsid w:val="00B331E1"/>
    <w:rsid w:val="00B4532A"/>
    <w:rsid w:val="00B469BB"/>
    <w:rsid w:val="00B47C66"/>
    <w:rsid w:val="00B53881"/>
    <w:rsid w:val="00B538A3"/>
    <w:rsid w:val="00B56F30"/>
    <w:rsid w:val="00B572C4"/>
    <w:rsid w:val="00B60858"/>
    <w:rsid w:val="00B60D69"/>
    <w:rsid w:val="00B61DF0"/>
    <w:rsid w:val="00B6234E"/>
    <w:rsid w:val="00B74D4E"/>
    <w:rsid w:val="00B767E4"/>
    <w:rsid w:val="00B80219"/>
    <w:rsid w:val="00B87184"/>
    <w:rsid w:val="00B91453"/>
    <w:rsid w:val="00BA19A5"/>
    <w:rsid w:val="00BB2907"/>
    <w:rsid w:val="00BB6902"/>
    <w:rsid w:val="00BC078B"/>
    <w:rsid w:val="00BC2C2B"/>
    <w:rsid w:val="00BC3A7D"/>
    <w:rsid w:val="00BC67F6"/>
    <w:rsid w:val="00BD2004"/>
    <w:rsid w:val="00BD4B12"/>
    <w:rsid w:val="00BD700D"/>
    <w:rsid w:val="00BE2E17"/>
    <w:rsid w:val="00BE2F92"/>
    <w:rsid w:val="00BE411F"/>
    <w:rsid w:val="00BE44AC"/>
    <w:rsid w:val="00BF0D5F"/>
    <w:rsid w:val="00BF30FC"/>
    <w:rsid w:val="00BF59B3"/>
    <w:rsid w:val="00BF6F95"/>
    <w:rsid w:val="00C06C9C"/>
    <w:rsid w:val="00C10BCF"/>
    <w:rsid w:val="00C11EB4"/>
    <w:rsid w:val="00C12746"/>
    <w:rsid w:val="00C20307"/>
    <w:rsid w:val="00C20E10"/>
    <w:rsid w:val="00C23C11"/>
    <w:rsid w:val="00C2441E"/>
    <w:rsid w:val="00C25827"/>
    <w:rsid w:val="00C31636"/>
    <w:rsid w:val="00C31BB8"/>
    <w:rsid w:val="00C373EA"/>
    <w:rsid w:val="00C42592"/>
    <w:rsid w:val="00C43CA3"/>
    <w:rsid w:val="00C43D9D"/>
    <w:rsid w:val="00C43EA4"/>
    <w:rsid w:val="00C50040"/>
    <w:rsid w:val="00C52DFF"/>
    <w:rsid w:val="00C574E1"/>
    <w:rsid w:val="00C619DF"/>
    <w:rsid w:val="00C621C1"/>
    <w:rsid w:val="00C62989"/>
    <w:rsid w:val="00C65CBB"/>
    <w:rsid w:val="00C67739"/>
    <w:rsid w:val="00C744A8"/>
    <w:rsid w:val="00C74684"/>
    <w:rsid w:val="00C77FEF"/>
    <w:rsid w:val="00C80F37"/>
    <w:rsid w:val="00C83659"/>
    <w:rsid w:val="00C839C1"/>
    <w:rsid w:val="00C83BE1"/>
    <w:rsid w:val="00C97A7F"/>
    <w:rsid w:val="00CA29FE"/>
    <w:rsid w:val="00CA4421"/>
    <w:rsid w:val="00CA5363"/>
    <w:rsid w:val="00CA7D07"/>
    <w:rsid w:val="00CB24A4"/>
    <w:rsid w:val="00CB4108"/>
    <w:rsid w:val="00CB5B17"/>
    <w:rsid w:val="00CB6AA0"/>
    <w:rsid w:val="00CC4443"/>
    <w:rsid w:val="00CC5CAF"/>
    <w:rsid w:val="00CE7E1B"/>
    <w:rsid w:val="00CF3909"/>
    <w:rsid w:val="00D00606"/>
    <w:rsid w:val="00D04F25"/>
    <w:rsid w:val="00D06874"/>
    <w:rsid w:val="00D07530"/>
    <w:rsid w:val="00D07FCB"/>
    <w:rsid w:val="00D13D32"/>
    <w:rsid w:val="00D173F7"/>
    <w:rsid w:val="00D17802"/>
    <w:rsid w:val="00D20203"/>
    <w:rsid w:val="00D204E0"/>
    <w:rsid w:val="00D20C7C"/>
    <w:rsid w:val="00D21320"/>
    <w:rsid w:val="00D21354"/>
    <w:rsid w:val="00D22400"/>
    <w:rsid w:val="00D23F4A"/>
    <w:rsid w:val="00D264E2"/>
    <w:rsid w:val="00D278BA"/>
    <w:rsid w:val="00D33FE5"/>
    <w:rsid w:val="00D348C0"/>
    <w:rsid w:val="00D3518D"/>
    <w:rsid w:val="00D3578A"/>
    <w:rsid w:val="00D43A15"/>
    <w:rsid w:val="00D4463C"/>
    <w:rsid w:val="00D46182"/>
    <w:rsid w:val="00D46B50"/>
    <w:rsid w:val="00D46C7D"/>
    <w:rsid w:val="00D501EE"/>
    <w:rsid w:val="00D517DC"/>
    <w:rsid w:val="00D5360D"/>
    <w:rsid w:val="00D54C16"/>
    <w:rsid w:val="00D5590D"/>
    <w:rsid w:val="00D618E4"/>
    <w:rsid w:val="00D61DA5"/>
    <w:rsid w:val="00D642A3"/>
    <w:rsid w:val="00D71B8A"/>
    <w:rsid w:val="00D72C08"/>
    <w:rsid w:val="00D74851"/>
    <w:rsid w:val="00D75247"/>
    <w:rsid w:val="00D81325"/>
    <w:rsid w:val="00D875ED"/>
    <w:rsid w:val="00D877D0"/>
    <w:rsid w:val="00D90013"/>
    <w:rsid w:val="00D91B9C"/>
    <w:rsid w:val="00D92C1B"/>
    <w:rsid w:val="00D94CC7"/>
    <w:rsid w:val="00D97901"/>
    <w:rsid w:val="00DA1AF4"/>
    <w:rsid w:val="00DA730A"/>
    <w:rsid w:val="00DB0C60"/>
    <w:rsid w:val="00DB6BC6"/>
    <w:rsid w:val="00DC641A"/>
    <w:rsid w:val="00DD21A1"/>
    <w:rsid w:val="00DD68FB"/>
    <w:rsid w:val="00DD6B7D"/>
    <w:rsid w:val="00DD6E14"/>
    <w:rsid w:val="00DE15AC"/>
    <w:rsid w:val="00DF2015"/>
    <w:rsid w:val="00E061EC"/>
    <w:rsid w:val="00E0696B"/>
    <w:rsid w:val="00E10658"/>
    <w:rsid w:val="00E10E81"/>
    <w:rsid w:val="00E12A2C"/>
    <w:rsid w:val="00E13E51"/>
    <w:rsid w:val="00E21F56"/>
    <w:rsid w:val="00E3014F"/>
    <w:rsid w:val="00E4286E"/>
    <w:rsid w:val="00E43EAD"/>
    <w:rsid w:val="00E5133F"/>
    <w:rsid w:val="00E61727"/>
    <w:rsid w:val="00E618F8"/>
    <w:rsid w:val="00E62DCB"/>
    <w:rsid w:val="00E651DD"/>
    <w:rsid w:val="00E66558"/>
    <w:rsid w:val="00E67F1D"/>
    <w:rsid w:val="00E70D81"/>
    <w:rsid w:val="00E726A6"/>
    <w:rsid w:val="00E73418"/>
    <w:rsid w:val="00E801D3"/>
    <w:rsid w:val="00E8109E"/>
    <w:rsid w:val="00E85C23"/>
    <w:rsid w:val="00E86F05"/>
    <w:rsid w:val="00EA3A2A"/>
    <w:rsid w:val="00EA6B46"/>
    <w:rsid w:val="00EB4556"/>
    <w:rsid w:val="00EB4A11"/>
    <w:rsid w:val="00EB64C8"/>
    <w:rsid w:val="00EC23D6"/>
    <w:rsid w:val="00ED4136"/>
    <w:rsid w:val="00ED5108"/>
    <w:rsid w:val="00ED5F83"/>
    <w:rsid w:val="00ED6AE8"/>
    <w:rsid w:val="00EE0B7A"/>
    <w:rsid w:val="00EE291B"/>
    <w:rsid w:val="00EE2CB2"/>
    <w:rsid w:val="00EE5193"/>
    <w:rsid w:val="00EF485B"/>
    <w:rsid w:val="00EF5A6B"/>
    <w:rsid w:val="00F012CA"/>
    <w:rsid w:val="00F01752"/>
    <w:rsid w:val="00F017D2"/>
    <w:rsid w:val="00F01C14"/>
    <w:rsid w:val="00F0355A"/>
    <w:rsid w:val="00F05C44"/>
    <w:rsid w:val="00F15753"/>
    <w:rsid w:val="00F20410"/>
    <w:rsid w:val="00F21B1B"/>
    <w:rsid w:val="00F21F92"/>
    <w:rsid w:val="00F24A7E"/>
    <w:rsid w:val="00F32ABA"/>
    <w:rsid w:val="00F33DC0"/>
    <w:rsid w:val="00F33F28"/>
    <w:rsid w:val="00F35A40"/>
    <w:rsid w:val="00F35FDE"/>
    <w:rsid w:val="00F40DE1"/>
    <w:rsid w:val="00F4142A"/>
    <w:rsid w:val="00F54FCB"/>
    <w:rsid w:val="00F60AB4"/>
    <w:rsid w:val="00F62587"/>
    <w:rsid w:val="00F631A6"/>
    <w:rsid w:val="00F63E9E"/>
    <w:rsid w:val="00F63FEA"/>
    <w:rsid w:val="00F66AA7"/>
    <w:rsid w:val="00F67356"/>
    <w:rsid w:val="00F7550B"/>
    <w:rsid w:val="00F75603"/>
    <w:rsid w:val="00F76060"/>
    <w:rsid w:val="00F76843"/>
    <w:rsid w:val="00F776E1"/>
    <w:rsid w:val="00F77E8D"/>
    <w:rsid w:val="00F925EB"/>
    <w:rsid w:val="00F97033"/>
    <w:rsid w:val="00FA6DD0"/>
    <w:rsid w:val="00FA7324"/>
    <w:rsid w:val="00FC0A2E"/>
    <w:rsid w:val="00FC28DF"/>
    <w:rsid w:val="00FD1780"/>
    <w:rsid w:val="00FD2297"/>
    <w:rsid w:val="00FD406D"/>
    <w:rsid w:val="00FD6AC6"/>
    <w:rsid w:val="00FE00F6"/>
    <w:rsid w:val="00FE3136"/>
    <w:rsid w:val="00FE50A3"/>
    <w:rsid w:val="00FE5204"/>
    <w:rsid w:val="00FE5993"/>
    <w:rsid w:val="00FE604C"/>
    <w:rsid w:val="00FE6C19"/>
    <w:rsid w:val="00FF2000"/>
    <w:rsid w:val="00FF369D"/>
    <w:rsid w:val="00FF4EF3"/>
    <w:rsid w:val="00FF544C"/>
    <w:rsid w:val="00FF6CA3"/>
    <w:rsid w:val="00FF6FB0"/>
    <w:rsid w:val="00FF79A8"/>
    <w:rsid w:val="01D678B0"/>
    <w:rsid w:val="03C0FE84"/>
    <w:rsid w:val="0511223D"/>
    <w:rsid w:val="05B6D577"/>
    <w:rsid w:val="069AA0E3"/>
    <w:rsid w:val="07FFD3D3"/>
    <w:rsid w:val="0B240EAF"/>
    <w:rsid w:val="12CA2E5B"/>
    <w:rsid w:val="13173609"/>
    <w:rsid w:val="15511BA4"/>
    <w:rsid w:val="186FF9A5"/>
    <w:rsid w:val="19F582BE"/>
    <w:rsid w:val="1A172959"/>
    <w:rsid w:val="1CBF4D92"/>
    <w:rsid w:val="23A8A1D1"/>
    <w:rsid w:val="2497129E"/>
    <w:rsid w:val="2860AB8E"/>
    <w:rsid w:val="2875E9AC"/>
    <w:rsid w:val="2DEFCDCA"/>
    <w:rsid w:val="2FFB967E"/>
    <w:rsid w:val="31564857"/>
    <w:rsid w:val="31CC4DD9"/>
    <w:rsid w:val="32870A69"/>
    <w:rsid w:val="37026FFC"/>
    <w:rsid w:val="380BAE89"/>
    <w:rsid w:val="3A3F1ACF"/>
    <w:rsid w:val="3BE13FA2"/>
    <w:rsid w:val="3C5A6419"/>
    <w:rsid w:val="3D4924DA"/>
    <w:rsid w:val="3EA4202B"/>
    <w:rsid w:val="407F390E"/>
    <w:rsid w:val="418407A1"/>
    <w:rsid w:val="491549E8"/>
    <w:rsid w:val="491E3A64"/>
    <w:rsid w:val="4BF69EA0"/>
    <w:rsid w:val="4F07DC8C"/>
    <w:rsid w:val="5434C532"/>
    <w:rsid w:val="5726C435"/>
    <w:rsid w:val="5AF863B0"/>
    <w:rsid w:val="5C40C457"/>
    <w:rsid w:val="5CD4469C"/>
    <w:rsid w:val="5F3A7B6B"/>
    <w:rsid w:val="617B4808"/>
    <w:rsid w:val="625D1A15"/>
    <w:rsid w:val="6948C1C2"/>
    <w:rsid w:val="6AD93586"/>
    <w:rsid w:val="6B606E18"/>
    <w:rsid w:val="6D28B1AF"/>
    <w:rsid w:val="6D616F43"/>
    <w:rsid w:val="6EB73EE5"/>
    <w:rsid w:val="709C33EC"/>
    <w:rsid w:val="71686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semiHidden/>
    <w:unhideWhenUsed/>
    <w:rsid w:val="00A74B3A"/>
    <w:pPr>
      <w:suppressAutoHyphens w:val="0"/>
      <w:autoSpaceDN/>
      <w:spacing w:before="100" w:beforeAutospacing="1" w:after="100" w:afterAutospacing="1" w:line="240" w:lineRule="auto"/>
    </w:pPr>
    <w:rPr>
      <w:rFonts w:ascii="Times New Roman" w:hAnsi="Times New Roman"/>
      <w:color w:val="auto"/>
    </w:rPr>
  </w:style>
  <w:style w:type="character" w:styleId="Emphasis">
    <w:name w:val="Emphasis"/>
    <w:basedOn w:val="DefaultParagraphFont"/>
    <w:uiPriority w:val="20"/>
    <w:qFormat/>
    <w:rsid w:val="00A74B3A"/>
    <w:rPr>
      <w:i/>
      <w:iCs/>
    </w:rPr>
  </w:style>
  <w:style w:type="character" w:customStyle="1" w:styleId="normaltextrun">
    <w:name w:val="normaltextrun"/>
    <w:basedOn w:val="DefaultParagraphFont"/>
    <w:rsid w:val="00146A80"/>
  </w:style>
  <w:style w:type="character" w:customStyle="1" w:styleId="eop">
    <w:name w:val="eop"/>
    <w:basedOn w:val="DefaultParagraphFont"/>
    <w:rsid w:val="00146A80"/>
  </w:style>
  <w:style w:type="character" w:styleId="Strong">
    <w:name w:val="Strong"/>
    <w:basedOn w:val="DefaultParagraphFont"/>
    <w:uiPriority w:val="22"/>
    <w:qFormat/>
    <w:rsid w:val="008E167E"/>
    <w:rPr>
      <w:b/>
      <w:bCs/>
    </w:rPr>
  </w:style>
  <w:style w:type="paragraph" w:customStyle="1" w:styleId="paragraph">
    <w:name w:val="paragraph"/>
    <w:basedOn w:val="Normal"/>
    <w:rsid w:val="008C4EA3"/>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574434119">
      <w:bodyDiv w:val="1"/>
      <w:marLeft w:val="0"/>
      <w:marRight w:val="0"/>
      <w:marTop w:val="0"/>
      <w:marBottom w:val="0"/>
      <w:divBdr>
        <w:top w:val="none" w:sz="0" w:space="0" w:color="auto"/>
        <w:left w:val="none" w:sz="0" w:space="0" w:color="auto"/>
        <w:bottom w:val="none" w:sz="0" w:space="0" w:color="auto"/>
        <w:right w:val="none" w:sz="0" w:space="0" w:color="auto"/>
      </w:divBdr>
    </w:div>
    <w:div w:id="721946281">
      <w:bodyDiv w:val="1"/>
      <w:marLeft w:val="0"/>
      <w:marRight w:val="0"/>
      <w:marTop w:val="0"/>
      <w:marBottom w:val="0"/>
      <w:divBdr>
        <w:top w:val="none" w:sz="0" w:space="0" w:color="auto"/>
        <w:left w:val="none" w:sz="0" w:space="0" w:color="auto"/>
        <w:bottom w:val="none" w:sz="0" w:space="0" w:color="auto"/>
        <w:right w:val="none" w:sz="0" w:space="0" w:color="auto"/>
      </w:divBdr>
      <w:divsChild>
        <w:div w:id="1129208736">
          <w:marLeft w:val="0"/>
          <w:marRight w:val="0"/>
          <w:marTop w:val="0"/>
          <w:marBottom w:val="0"/>
          <w:divBdr>
            <w:top w:val="none" w:sz="0" w:space="0" w:color="auto"/>
            <w:left w:val="none" w:sz="0" w:space="0" w:color="auto"/>
            <w:bottom w:val="none" w:sz="0" w:space="0" w:color="auto"/>
            <w:right w:val="none" w:sz="0" w:space="0" w:color="auto"/>
          </w:divBdr>
          <w:divsChild>
            <w:div w:id="776024376">
              <w:marLeft w:val="0"/>
              <w:marRight w:val="0"/>
              <w:marTop w:val="0"/>
              <w:marBottom w:val="0"/>
              <w:divBdr>
                <w:top w:val="none" w:sz="0" w:space="0" w:color="auto"/>
                <w:left w:val="none" w:sz="0" w:space="0" w:color="auto"/>
                <w:bottom w:val="none" w:sz="0" w:space="0" w:color="auto"/>
                <w:right w:val="none" w:sz="0" w:space="0" w:color="auto"/>
              </w:divBdr>
              <w:divsChild>
                <w:div w:id="2036272343">
                  <w:marLeft w:val="0"/>
                  <w:marRight w:val="0"/>
                  <w:marTop w:val="0"/>
                  <w:marBottom w:val="0"/>
                  <w:divBdr>
                    <w:top w:val="none" w:sz="0" w:space="0" w:color="auto"/>
                    <w:left w:val="none" w:sz="0" w:space="0" w:color="auto"/>
                    <w:bottom w:val="none" w:sz="0" w:space="0" w:color="auto"/>
                    <w:right w:val="none" w:sz="0" w:space="0" w:color="auto"/>
                  </w:divBdr>
                  <w:divsChild>
                    <w:div w:id="164095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171">
      <w:bodyDiv w:val="1"/>
      <w:marLeft w:val="0"/>
      <w:marRight w:val="0"/>
      <w:marTop w:val="0"/>
      <w:marBottom w:val="0"/>
      <w:divBdr>
        <w:top w:val="none" w:sz="0" w:space="0" w:color="auto"/>
        <w:left w:val="none" w:sz="0" w:space="0" w:color="auto"/>
        <w:bottom w:val="none" w:sz="0" w:space="0" w:color="auto"/>
        <w:right w:val="none" w:sz="0" w:space="0" w:color="auto"/>
      </w:divBdr>
      <w:divsChild>
        <w:div w:id="10113343">
          <w:marLeft w:val="0"/>
          <w:marRight w:val="0"/>
          <w:marTop w:val="0"/>
          <w:marBottom w:val="0"/>
          <w:divBdr>
            <w:top w:val="none" w:sz="0" w:space="0" w:color="auto"/>
            <w:left w:val="none" w:sz="0" w:space="0" w:color="auto"/>
            <w:bottom w:val="none" w:sz="0" w:space="0" w:color="auto"/>
            <w:right w:val="none" w:sz="0" w:space="0" w:color="auto"/>
          </w:divBdr>
        </w:div>
        <w:div w:id="74011307">
          <w:marLeft w:val="0"/>
          <w:marRight w:val="0"/>
          <w:marTop w:val="0"/>
          <w:marBottom w:val="0"/>
          <w:divBdr>
            <w:top w:val="none" w:sz="0" w:space="0" w:color="auto"/>
            <w:left w:val="none" w:sz="0" w:space="0" w:color="auto"/>
            <w:bottom w:val="none" w:sz="0" w:space="0" w:color="auto"/>
            <w:right w:val="none" w:sz="0" w:space="0" w:color="auto"/>
          </w:divBdr>
        </w:div>
        <w:div w:id="2120444513">
          <w:marLeft w:val="0"/>
          <w:marRight w:val="0"/>
          <w:marTop w:val="0"/>
          <w:marBottom w:val="0"/>
          <w:divBdr>
            <w:top w:val="none" w:sz="0" w:space="0" w:color="auto"/>
            <w:left w:val="none" w:sz="0" w:space="0" w:color="auto"/>
            <w:bottom w:val="none" w:sz="0" w:space="0" w:color="auto"/>
            <w:right w:val="none" w:sz="0" w:space="0" w:color="auto"/>
          </w:divBdr>
        </w:div>
      </w:divsChild>
    </w:div>
    <w:div w:id="1038704083">
      <w:bodyDiv w:val="1"/>
      <w:marLeft w:val="0"/>
      <w:marRight w:val="0"/>
      <w:marTop w:val="0"/>
      <w:marBottom w:val="0"/>
      <w:divBdr>
        <w:top w:val="none" w:sz="0" w:space="0" w:color="auto"/>
        <w:left w:val="none" w:sz="0" w:space="0" w:color="auto"/>
        <w:bottom w:val="none" w:sz="0" w:space="0" w:color="auto"/>
        <w:right w:val="none" w:sz="0" w:space="0" w:color="auto"/>
      </w:divBdr>
    </w:div>
    <w:div w:id="1124038269">
      <w:bodyDiv w:val="1"/>
      <w:marLeft w:val="0"/>
      <w:marRight w:val="0"/>
      <w:marTop w:val="0"/>
      <w:marBottom w:val="0"/>
      <w:divBdr>
        <w:top w:val="none" w:sz="0" w:space="0" w:color="auto"/>
        <w:left w:val="none" w:sz="0" w:space="0" w:color="auto"/>
        <w:bottom w:val="none" w:sz="0" w:space="0" w:color="auto"/>
        <w:right w:val="none" w:sz="0" w:space="0" w:color="auto"/>
      </w:divBdr>
    </w:div>
    <w:div w:id="1160921806">
      <w:bodyDiv w:val="1"/>
      <w:marLeft w:val="0"/>
      <w:marRight w:val="0"/>
      <w:marTop w:val="0"/>
      <w:marBottom w:val="0"/>
      <w:divBdr>
        <w:top w:val="none" w:sz="0" w:space="0" w:color="auto"/>
        <w:left w:val="none" w:sz="0" w:space="0" w:color="auto"/>
        <w:bottom w:val="none" w:sz="0" w:space="0" w:color="auto"/>
        <w:right w:val="none" w:sz="0" w:space="0" w:color="auto"/>
      </w:divBdr>
      <w:divsChild>
        <w:div w:id="760183345">
          <w:marLeft w:val="0"/>
          <w:marRight w:val="0"/>
          <w:marTop w:val="0"/>
          <w:marBottom w:val="0"/>
          <w:divBdr>
            <w:top w:val="none" w:sz="0" w:space="0" w:color="auto"/>
            <w:left w:val="none" w:sz="0" w:space="0" w:color="auto"/>
            <w:bottom w:val="none" w:sz="0" w:space="0" w:color="auto"/>
            <w:right w:val="none" w:sz="0" w:space="0" w:color="auto"/>
          </w:divBdr>
        </w:div>
        <w:div w:id="1144814083">
          <w:marLeft w:val="0"/>
          <w:marRight w:val="0"/>
          <w:marTop w:val="0"/>
          <w:marBottom w:val="0"/>
          <w:divBdr>
            <w:top w:val="none" w:sz="0" w:space="0" w:color="auto"/>
            <w:left w:val="none" w:sz="0" w:space="0" w:color="auto"/>
            <w:bottom w:val="none" w:sz="0" w:space="0" w:color="auto"/>
            <w:right w:val="none" w:sz="0" w:space="0" w:color="auto"/>
          </w:divBdr>
        </w:div>
        <w:div w:id="2039692857">
          <w:marLeft w:val="0"/>
          <w:marRight w:val="0"/>
          <w:marTop w:val="0"/>
          <w:marBottom w:val="0"/>
          <w:divBdr>
            <w:top w:val="none" w:sz="0" w:space="0" w:color="auto"/>
            <w:left w:val="none" w:sz="0" w:space="0" w:color="auto"/>
            <w:bottom w:val="none" w:sz="0" w:space="0" w:color="auto"/>
            <w:right w:val="none" w:sz="0" w:space="0" w:color="auto"/>
          </w:divBdr>
        </w:div>
        <w:div w:id="1503734830">
          <w:marLeft w:val="0"/>
          <w:marRight w:val="0"/>
          <w:marTop w:val="0"/>
          <w:marBottom w:val="0"/>
          <w:divBdr>
            <w:top w:val="none" w:sz="0" w:space="0" w:color="auto"/>
            <w:left w:val="none" w:sz="0" w:space="0" w:color="auto"/>
            <w:bottom w:val="none" w:sz="0" w:space="0" w:color="auto"/>
            <w:right w:val="none" w:sz="0" w:space="0" w:color="auto"/>
          </w:divBdr>
        </w:div>
        <w:div w:id="1710491956">
          <w:marLeft w:val="0"/>
          <w:marRight w:val="0"/>
          <w:marTop w:val="0"/>
          <w:marBottom w:val="0"/>
          <w:divBdr>
            <w:top w:val="none" w:sz="0" w:space="0" w:color="auto"/>
            <w:left w:val="none" w:sz="0" w:space="0" w:color="auto"/>
            <w:bottom w:val="none" w:sz="0" w:space="0" w:color="auto"/>
            <w:right w:val="none" w:sz="0" w:space="0" w:color="auto"/>
          </w:divBdr>
        </w:div>
        <w:div w:id="1616061013">
          <w:marLeft w:val="0"/>
          <w:marRight w:val="0"/>
          <w:marTop w:val="0"/>
          <w:marBottom w:val="0"/>
          <w:divBdr>
            <w:top w:val="none" w:sz="0" w:space="0" w:color="auto"/>
            <w:left w:val="none" w:sz="0" w:space="0" w:color="auto"/>
            <w:bottom w:val="none" w:sz="0" w:space="0" w:color="auto"/>
            <w:right w:val="none" w:sz="0" w:space="0" w:color="auto"/>
          </w:divBdr>
        </w:div>
        <w:div w:id="442580218">
          <w:marLeft w:val="0"/>
          <w:marRight w:val="0"/>
          <w:marTop w:val="0"/>
          <w:marBottom w:val="0"/>
          <w:divBdr>
            <w:top w:val="none" w:sz="0" w:space="0" w:color="auto"/>
            <w:left w:val="none" w:sz="0" w:space="0" w:color="auto"/>
            <w:bottom w:val="none" w:sz="0" w:space="0" w:color="auto"/>
            <w:right w:val="none" w:sz="0" w:space="0" w:color="auto"/>
          </w:divBdr>
        </w:div>
        <w:div w:id="1619142937">
          <w:marLeft w:val="0"/>
          <w:marRight w:val="0"/>
          <w:marTop w:val="0"/>
          <w:marBottom w:val="0"/>
          <w:divBdr>
            <w:top w:val="none" w:sz="0" w:space="0" w:color="auto"/>
            <w:left w:val="none" w:sz="0" w:space="0" w:color="auto"/>
            <w:bottom w:val="none" w:sz="0" w:space="0" w:color="auto"/>
            <w:right w:val="none" w:sz="0" w:space="0" w:color="auto"/>
          </w:divBdr>
        </w:div>
      </w:divsChild>
    </w:div>
    <w:div w:id="1738477635">
      <w:bodyDiv w:val="1"/>
      <w:marLeft w:val="0"/>
      <w:marRight w:val="0"/>
      <w:marTop w:val="0"/>
      <w:marBottom w:val="0"/>
      <w:divBdr>
        <w:top w:val="none" w:sz="0" w:space="0" w:color="auto"/>
        <w:left w:val="none" w:sz="0" w:space="0" w:color="auto"/>
        <w:bottom w:val="none" w:sz="0" w:space="0" w:color="auto"/>
        <w:right w:val="none" w:sz="0" w:space="0" w:color="auto"/>
      </w:divBdr>
    </w:div>
    <w:div w:id="1986659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projects-and-evaluation/projects/lexia" TargetMode="External"/><Relationship Id="rId18" Type="http://schemas.openxmlformats.org/officeDocument/2006/relationships/hyperlink" Target="https://epi.org.uk/publications-and-research/access-to-extra-curricular-provision-and-the-association-with-outcom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reading-comprehension-strategies" TargetMode="External"/><Relationship Id="rId17" Type="http://schemas.openxmlformats.org/officeDocument/2006/relationships/hyperlink" Target="https://educationendowmentfoundation.org.uk/education-evidence/leadership-and-planning/supporting-attendance/summary-of-evidenc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esearch.brighton.ac.uk/en/publications/exploring-the-relationship-between-attendance-and-attainment"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teaching-learning-toolkit/peer-tutoring" TargetMode="External"/><Relationship Id="rId24" Type="http://schemas.openxmlformats.org/officeDocument/2006/relationships/image" Target="media/image7.png"/><Relationship Id="rId5" Type="http://schemas.openxmlformats.org/officeDocument/2006/relationships/styles" Target="styles.xml"/><Relationship Id="rId15" Type="http://schemas.openxmlformats.org/officeDocument/2006/relationships/hyperlink" Target="https://www.gov.uk/government/publications/supporting-the-attainment-of-disadvantaged-pupils" TargetMode="External"/><Relationship Id="rId23"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mentoring" TargetMode="Externa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60D942076B00409C057C4D23C6397F" ma:contentTypeVersion="8" ma:contentTypeDescription="Create a new document." ma:contentTypeScope="" ma:versionID="6d698a5a3a1457bad44588db7bd60ef8">
  <xsd:schema xmlns:xsd="http://www.w3.org/2001/XMLSchema" xmlns:xs="http://www.w3.org/2001/XMLSchema" xmlns:p="http://schemas.microsoft.com/office/2006/metadata/properties" xmlns:ns2="fb9ac88b-5def-4f6d-a059-a9d6f01661cf" xmlns:ns3="04db88ec-8230-43dc-81fa-995c331ea18a" targetNamespace="http://schemas.microsoft.com/office/2006/metadata/properties" ma:root="true" ma:fieldsID="0ca4d16f96c7f15584ea5b272fd67052" ns2:_="" ns3:_="">
    <xsd:import namespace="fb9ac88b-5def-4f6d-a059-a9d6f01661cf"/>
    <xsd:import namespace="04db88ec-8230-43dc-81fa-995c331ea1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ac88b-5def-4f6d-a059-a9d6f01661c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db88ec-8230-43dc-81fa-995c331ea1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589E8-E0AC-4A1E-9FC1-C5AA62D54896}">
  <ds:schemaRefs>
    <ds:schemaRef ds:uri="http://www.w3.org/XML/1998/namespace"/>
    <ds:schemaRef ds:uri="http://purl.org/dc/dcmitype/"/>
    <ds:schemaRef ds:uri="http://purl.org/dc/elements/1.1/"/>
    <ds:schemaRef ds:uri="04db88ec-8230-43dc-81fa-995c331ea18a"/>
    <ds:schemaRef ds:uri="http://schemas.microsoft.com/office/2006/documentManagement/types"/>
    <ds:schemaRef ds:uri="fb9ac88b-5def-4f6d-a059-a9d6f01661cf"/>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B442A51-D9E8-4071-B664-0C6E2D222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ac88b-5def-4f6d-a059-a9d6f01661cf"/>
    <ds:schemaRef ds:uri="04db88ec-8230-43dc-81fa-995c331ea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2DD27D-EBFD-4E39-BD3F-DA0D4BAFBB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2557</Words>
  <Characters>14576</Characters>
  <Application>Microsoft Office Word</Application>
  <DocSecurity>0</DocSecurity>
  <Lines>121</Lines>
  <Paragraphs>34</Paragraphs>
  <ScaleCrop>false</ScaleCrop>
  <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Laura Gatward</cp:lastModifiedBy>
  <cp:revision>2</cp:revision>
  <cp:lastPrinted>2014-09-18T05:26:00Z</cp:lastPrinted>
  <dcterms:created xsi:type="dcterms:W3CDTF">2025-04-29T09:08:00Z</dcterms:created>
  <dcterms:modified xsi:type="dcterms:W3CDTF">2025-04-29T09:08:00Z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0x0101007760D942076B00409C057C4D23C6397F</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